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A18E4AD">
      <w:pPr>
        <w:spacing w:line="440" w:lineRule="exact"/>
        <w:jc w:val="center"/>
        <w:rPr>
          <w:rFonts w:hint="eastAsia" w:ascii="宋体" w:cs="宋体"/>
          <w:kern w:val="0"/>
          <w:sz w:val="44"/>
          <w:szCs w:val="44"/>
        </w:rPr>
      </w:pPr>
    </w:p>
    <w:p w14:paraId="49133AF0">
      <w:pPr>
        <w:spacing w:line="440" w:lineRule="exact"/>
        <w:jc w:val="center"/>
        <w:rPr>
          <w:rFonts w:ascii="宋体" w:cs="宋体"/>
          <w:kern w:val="0"/>
          <w:sz w:val="44"/>
          <w:szCs w:val="44"/>
        </w:rPr>
      </w:pPr>
    </w:p>
    <w:p w14:paraId="2BF46E3B">
      <w:pPr>
        <w:spacing w:line="440" w:lineRule="exact"/>
        <w:jc w:val="center"/>
        <w:rPr>
          <w:rFonts w:ascii="宋体" w:cs="宋体"/>
          <w:kern w:val="0"/>
          <w:sz w:val="44"/>
          <w:szCs w:val="44"/>
        </w:rPr>
      </w:pPr>
    </w:p>
    <w:p w14:paraId="1FE5C44A">
      <w:pPr>
        <w:spacing w:line="440" w:lineRule="exact"/>
        <w:jc w:val="center"/>
        <w:rPr>
          <w:rFonts w:ascii="宋体" w:cs="宋体"/>
          <w:kern w:val="0"/>
          <w:sz w:val="44"/>
          <w:szCs w:val="44"/>
        </w:rPr>
      </w:pPr>
    </w:p>
    <w:p w14:paraId="1650B88F">
      <w:pPr>
        <w:spacing w:line="440" w:lineRule="exact"/>
        <w:jc w:val="center"/>
        <w:rPr>
          <w:rFonts w:ascii="宋体" w:cs="宋体"/>
          <w:kern w:val="0"/>
          <w:sz w:val="44"/>
          <w:szCs w:val="44"/>
        </w:rPr>
      </w:pPr>
    </w:p>
    <w:p w14:paraId="1B66F6D8">
      <w:pPr>
        <w:spacing w:line="440" w:lineRule="exact"/>
        <w:jc w:val="center"/>
        <w:rPr>
          <w:rFonts w:ascii="宋体" w:cs="宋体"/>
          <w:kern w:val="0"/>
          <w:sz w:val="44"/>
          <w:szCs w:val="44"/>
        </w:rPr>
      </w:pPr>
    </w:p>
    <w:p w14:paraId="0DC63141">
      <w:pPr>
        <w:spacing w:line="440" w:lineRule="exact"/>
        <w:jc w:val="center"/>
        <w:rPr>
          <w:rFonts w:ascii="宋体" w:cs="宋体"/>
          <w:kern w:val="0"/>
          <w:sz w:val="44"/>
          <w:szCs w:val="44"/>
        </w:rPr>
      </w:pPr>
    </w:p>
    <w:p w14:paraId="6715FCA1">
      <w:pPr>
        <w:spacing w:line="440" w:lineRule="exact"/>
        <w:jc w:val="center"/>
        <w:rPr>
          <w:rFonts w:ascii="宋体" w:cs="宋体"/>
          <w:kern w:val="0"/>
          <w:sz w:val="44"/>
          <w:szCs w:val="44"/>
        </w:rPr>
      </w:pPr>
    </w:p>
    <w:p w14:paraId="089B3B72">
      <w:pPr>
        <w:spacing w:line="440" w:lineRule="exact"/>
        <w:jc w:val="center"/>
        <w:rPr>
          <w:rFonts w:hint="eastAsia" w:ascii="宋体" w:cs="宋体"/>
          <w:kern w:val="0"/>
          <w:sz w:val="44"/>
          <w:szCs w:val="44"/>
          <w:lang w:eastAsia="zh-CN"/>
        </w:rPr>
      </w:pPr>
      <w:r>
        <w:rPr>
          <w:rFonts w:hint="eastAsia" w:ascii="宋体" w:cs="宋体"/>
          <w:kern w:val="0"/>
          <w:sz w:val="44"/>
          <w:szCs w:val="44"/>
        </w:rPr>
        <w:t>《</w:t>
      </w:r>
      <w:r>
        <w:rPr>
          <w:rFonts w:hint="eastAsia" w:ascii="宋体" w:cs="宋体"/>
          <w:kern w:val="0"/>
          <w:sz w:val="44"/>
          <w:szCs w:val="44"/>
          <w:lang w:eastAsia="zh-CN"/>
        </w:rPr>
        <w:t>家用儿童学习桌、椅</w:t>
      </w:r>
      <w:r>
        <w:rPr>
          <w:rFonts w:hint="eastAsia" w:ascii="宋体" w:cs="宋体"/>
          <w:kern w:val="0"/>
          <w:sz w:val="44"/>
          <w:szCs w:val="44"/>
        </w:rPr>
        <w:t>》</w:t>
      </w:r>
      <w:r>
        <w:rPr>
          <w:rFonts w:hint="eastAsia" w:ascii="宋体" w:cs="宋体"/>
          <w:kern w:val="0"/>
          <w:sz w:val="44"/>
          <w:szCs w:val="44"/>
          <w:lang w:eastAsia="zh-CN"/>
        </w:rPr>
        <w:t>国家标准</w:t>
      </w:r>
    </w:p>
    <w:p w14:paraId="38CA6285">
      <w:pPr>
        <w:spacing w:line="440" w:lineRule="exact"/>
        <w:jc w:val="center"/>
        <w:rPr>
          <w:rFonts w:hint="eastAsia" w:ascii="宋体" w:eastAsia="宋体" w:cs="宋体"/>
          <w:kern w:val="0"/>
          <w:sz w:val="44"/>
          <w:szCs w:val="44"/>
          <w:lang w:eastAsia="zh-CN"/>
        </w:rPr>
      </w:pPr>
      <w:r>
        <w:rPr>
          <w:rFonts w:hint="eastAsia" w:ascii="宋体" w:cs="宋体"/>
          <w:kern w:val="0"/>
          <w:sz w:val="44"/>
          <w:szCs w:val="44"/>
        </w:rPr>
        <w:t>（</w:t>
      </w:r>
      <w:r>
        <w:rPr>
          <w:rFonts w:hint="eastAsia" w:ascii="宋体" w:cs="宋体"/>
          <w:kern w:val="0"/>
          <w:sz w:val="44"/>
          <w:szCs w:val="44"/>
          <w:lang w:val="en-US" w:eastAsia="zh-CN"/>
        </w:rPr>
        <w:t>送审</w:t>
      </w:r>
      <w:r>
        <w:rPr>
          <w:rFonts w:hint="eastAsia" w:ascii="宋体" w:cs="宋体"/>
          <w:kern w:val="0"/>
          <w:sz w:val="44"/>
          <w:szCs w:val="44"/>
        </w:rPr>
        <w:t>稿）编制说明</w:t>
      </w:r>
    </w:p>
    <w:p w14:paraId="5552C478">
      <w:pPr>
        <w:spacing w:line="440" w:lineRule="exact"/>
        <w:jc w:val="center"/>
        <w:rPr>
          <w:rFonts w:ascii="宋体" w:cs="宋体"/>
          <w:kern w:val="0"/>
          <w:sz w:val="44"/>
          <w:szCs w:val="44"/>
        </w:rPr>
      </w:pPr>
    </w:p>
    <w:p w14:paraId="2B96FFD8">
      <w:pPr>
        <w:spacing w:line="440" w:lineRule="exact"/>
        <w:jc w:val="center"/>
        <w:rPr>
          <w:rFonts w:ascii="宋体" w:cs="宋体"/>
          <w:kern w:val="0"/>
          <w:sz w:val="44"/>
          <w:szCs w:val="44"/>
        </w:rPr>
      </w:pPr>
    </w:p>
    <w:p w14:paraId="48A1C672">
      <w:pPr>
        <w:spacing w:line="440" w:lineRule="exact"/>
        <w:jc w:val="center"/>
        <w:rPr>
          <w:rFonts w:ascii="宋体" w:cs="宋体"/>
          <w:kern w:val="0"/>
          <w:sz w:val="44"/>
          <w:szCs w:val="44"/>
        </w:rPr>
      </w:pPr>
    </w:p>
    <w:p w14:paraId="0E99E8DA">
      <w:pPr>
        <w:spacing w:line="440" w:lineRule="exact"/>
        <w:jc w:val="center"/>
        <w:rPr>
          <w:rFonts w:ascii="宋体" w:cs="宋体"/>
          <w:kern w:val="0"/>
          <w:sz w:val="44"/>
          <w:szCs w:val="44"/>
        </w:rPr>
      </w:pPr>
    </w:p>
    <w:p w14:paraId="6AA9FFD7">
      <w:pPr>
        <w:spacing w:line="440" w:lineRule="exact"/>
        <w:jc w:val="center"/>
        <w:rPr>
          <w:rFonts w:ascii="宋体" w:cs="宋体"/>
          <w:kern w:val="0"/>
          <w:sz w:val="44"/>
          <w:szCs w:val="44"/>
        </w:rPr>
      </w:pPr>
    </w:p>
    <w:p w14:paraId="6B81245D">
      <w:pPr>
        <w:spacing w:line="440" w:lineRule="exact"/>
        <w:jc w:val="center"/>
        <w:rPr>
          <w:rFonts w:ascii="宋体" w:cs="宋体"/>
          <w:kern w:val="0"/>
          <w:sz w:val="44"/>
          <w:szCs w:val="44"/>
        </w:rPr>
      </w:pPr>
    </w:p>
    <w:p w14:paraId="36FA2EC8">
      <w:pPr>
        <w:spacing w:line="440" w:lineRule="exact"/>
        <w:jc w:val="center"/>
        <w:rPr>
          <w:rFonts w:ascii="宋体" w:cs="宋体"/>
          <w:kern w:val="0"/>
          <w:sz w:val="44"/>
          <w:szCs w:val="44"/>
        </w:rPr>
      </w:pPr>
    </w:p>
    <w:p w14:paraId="505B401D">
      <w:pPr>
        <w:spacing w:line="440" w:lineRule="exact"/>
        <w:jc w:val="center"/>
        <w:rPr>
          <w:rFonts w:ascii="宋体" w:cs="宋体"/>
          <w:kern w:val="0"/>
          <w:sz w:val="44"/>
          <w:szCs w:val="44"/>
        </w:rPr>
      </w:pPr>
    </w:p>
    <w:p w14:paraId="68E38D07">
      <w:pPr>
        <w:spacing w:line="440" w:lineRule="exact"/>
        <w:jc w:val="center"/>
        <w:rPr>
          <w:rFonts w:ascii="宋体" w:cs="宋体"/>
          <w:kern w:val="0"/>
          <w:sz w:val="44"/>
          <w:szCs w:val="44"/>
        </w:rPr>
      </w:pPr>
    </w:p>
    <w:p w14:paraId="48EB3E58">
      <w:pPr>
        <w:spacing w:line="440" w:lineRule="exact"/>
        <w:jc w:val="center"/>
        <w:rPr>
          <w:rFonts w:ascii="宋体" w:cs="宋体"/>
          <w:kern w:val="0"/>
          <w:sz w:val="44"/>
          <w:szCs w:val="44"/>
        </w:rPr>
      </w:pPr>
    </w:p>
    <w:p w14:paraId="5CC291E1">
      <w:pPr>
        <w:spacing w:line="440" w:lineRule="exact"/>
        <w:jc w:val="center"/>
        <w:rPr>
          <w:rFonts w:ascii="宋体" w:cs="宋体"/>
          <w:kern w:val="0"/>
          <w:sz w:val="44"/>
          <w:szCs w:val="44"/>
        </w:rPr>
      </w:pPr>
    </w:p>
    <w:p w14:paraId="7D1C7384">
      <w:pPr>
        <w:spacing w:line="440" w:lineRule="exact"/>
        <w:jc w:val="center"/>
        <w:rPr>
          <w:rFonts w:ascii="宋体" w:cs="宋体"/>
          <w:kern w:val="0"/>
          <w:sz w:val="44"/>
          <w:szCs w:val="44"/>
        </w:rPr>
      </w:pPr>
    </w:p>
    <w:p w14:paraId="1805C915">
      <w:pPr>
        <w:spacing w:line="440" w:lineRule="exact"/>
        <w:jc w:val="center"/>
        <w:rPr>
          <w:rFonts w:ascii="宋体" w:cs="宋体"/>
          <w:kern w:val="0"/>
          <w:sz w:val="44"/>
          <w:szCs w:val="44"/>
        </w:rPr>
      </w:pPr>
    </w:p>
    <w:p w14:paraId="03E95281">
      <w:pPr>
        <w:spacing w:line="440" w:lineRule="exact"/>
        <w:jc w:val="center"/>
        <w:rPr>
          <w:rFonts w:ascii="宋体" w:cs="宋体"/>
          <w:kern w:val="0"/>
          <w:sz w:val="44"/>
          <w:szCs w:val="44"/>
        </w:rPr>
      </w:pPr>
    </w:p>
    <w:p w14:paraId="0F8492CD">
      <w:pPr>
        <w:spacing w:line="440" w:lineRule="exact"/>
        <w:jc w:val="center"/>
        <w:rPr>
          <w:rFonts w:ascii="宋体" w:cs="宋体"/>
          <w:kern w:val="0"/>
          <w:sz w:val="44"/>
          <w:szCs w:val="44"/>
        </w:rPr>
      </w:pPr>
    </w:p>
    <w:p w14:paraId="7EEF6703">
      <w:pPr>
        <w:spacing w:line="440" w:lineRule="exact"/>
        <w:jc w:val="center"/>
        <w:rPr>
          <w:rFonts w:ascii="宋体" w:cs="宋体"/>
          <w:kern w:val="0"/>
          <w:sz w:val="44"/>
          <w:szCs w:val="44"/>
        </w:rPr>
      </w:pPr>
    </w:p>
    <w:p w14:paraId="7A5BDFF4">
      <w:pPr>
        <w:spacing w:line="440" w:lineRule="exact"/>
        <w:jc w:val="center"/>
        <w:rPr>
          <w:rFonts w:ascii="宋体" w:cs="宋体"/>
          <w:kern w:val="0"/>
          <w:sz w:val="44"/>
          <w:szCs w:val="44"/>
        </w:rPr>
      </w:pPr>
    </w:p>
    <w:p w14:paraId="1172FBC3">
      <w:pPr>
        <w:spacing w:line="440" w:lineRule="exact"/>
        <w:jc w:val="center"/>
        <w:rPr>
          <w:rFonts w:ascii="宋体" w:cs="宋体"/>
          <w:kern w:val="0"/>
          <w:sz w:val="28"/>
          <w:szCs w:val="28"/>
        </w:rPr>
      </w:pPr>
      <w:r>
        <w:rPr>
          <w:rFonts w:hint="eastAsia" w:ascii="宋体" w:cs="宋体"/>
          <w:kern w:val="0"/>
          <w:sz w:val="28"/>
          <w:szCs w:val="28"/>
        </w:rPr>
        <w:t>《</w:t>
      </w:r>
      <w:r>
        <w:rPr>
          <w:rFonts w:hint="eastAsia" w:ascii="宋体" w:cs="宋体"/>
          <w:kern w:val="0"/>
          <w:sz w:val="28"/>
          <w:szCs w:val="28"/>
          <w:lang w:eastAsia="zh-CN"/>
        </w:rPr>
        <w:t>家用儿童学习桌、椅</w:t>
      </w:r>
      <w:r>
        <w:rPr>
          <w:rFonts w:hint="eastAsia" w:ascii="宋体" w:cs="宋体"/>
          <w:kern w:val="0"/>
          <w:sz w:val="28"/>
          <w:szCs w:val="28"/>
        </w:rPr>
        <w:t>》标准起草小组</w:t>
      </w:r>
    </w:p>
    <w:p w14:paraId="58D87B3D">
      <w:pPr>
        <w:spacing w:line="440" w:lineRule="exact"/>
        <w:jc w:val="center"/>
        <w:rPr>
          <w:rFonts w:hint="default" w:ascii="宋体" w:eastAsia="黑体" w:cs="宋体"/>
          <w:kern w:val="0"/>
          <w:sz w:val="28"/>
          <w:szCs w:val="28"/>
          <w:lang w:val="en-US" w:eastAsia="zh-CN"/>
        </w:rPr>
      </w:pPr>
      <w:r>
        <w:rPr>
          <w:rFonts w:hint="eastAsia" w:ascii="宋体" w:eastAsia="黑体" w:cs="宋体"/>
          <w:kern w:val="0"/>
          <w:sz w:val="28"/>
          <w:szCs w:val="28"/>
        </w:rPr>
        <w:t>20</w:t>
      </w:r>
      <w:r>
        <w:rPr>
          <w:rFonts w:hint="eastAsia" w:ascii="宋体" w:eastAsia="黑体" w:cs="宋体"/>
          <w:kern w:val="0"/>
          <w:sz w:val="28"/>
          <w:szCs w:val="28"/>
          <w:lang w:val="en-US" w:eastAsia="zh-CN"/>
        </w:rPr>
        <w:t>26</w:t>
      </w:r>
      <w:r>
        <w:rPr>
          <w:rFonts w:hint="eastAsia" w:ascii="宋体" w:eastAsia="黑体" w:cs="宋体"/>
          <w:kern w:val="0"/>
          <w:sz w:val="28"/>
          <w:szCs w:val="28"/>
        </w:rPr>
        <w:t>.</w:t>
      </w:r>
      <w:r>
        <w:rPr>
          <w:rFonts w:hint="eastAsia" w:ascii="宋体" w:eastAsia="黑体" w:cs="宋体"/>
          <w:kern w:val="0"/>
          <w:sz w:val="28"/>
          <w:szCs w:val="28"/>
          <w:lang w:val="en-US" w:eastAsia="zh-CN"/>
        </w:rPr>
        <w:t>3</w:t>
      </w:r>
    </w:p>
    <w:p w14:paraId="45235B05">
      <w:pPr>
        <w:spacing w:line="440" w:lineRule="exact"/>
        <w:jc w:val="center"/>
        <w:rPr>
          <w:rFonts w:hint="default" w:ascii="宋体" w:eastAsia="黑体" w:cs="宋体"/>
          <w:kern w:val="0"/>
          <w:sz w:val="28"/>
          <w:szCs w:val="28"/>
          <w:lang w:val="en-US"/>
        </w:rPr>
      </w:pPr>
    </w:p>
    <w:p w14:paraId="1170390C">
      <w:pPr>
        <w:spacing w:line="440" w:lineRule="exact"/>
        <w:jc w:val="center"/>
        <w:rPr>
          <w:rFonts w:hint="eastAsia" w:ascii="宋体" w:eastAsia="黑体" w:cs="宋体"/>
          <w:kern w:val="0"/>
          <w:sz w:val="28"/>
          <w:szCs w:val="28"/>
          <w:lang w:val="en-US"/>
        </w:rPr>
      </w:pPr>
    </w:p>
    <w:p w14:paraId="02A086DC">
      <w:pPr>
        <w:jc w:val="center"/>
        <w:rPr>
          <w:rFonts w:hint="eastAsia"/>
          <w:sz w:val="36"/>
          <w:szCs w:val="36"/>
        </w:rPr>
      </w:pPr>
      <w:r>
        <w:rPr>
          <w:rFonts w:hint="eastAsia"/>
          <w:sz w:val="36"/>
          <w:szCs w:val="36"/>
        </w:rPr>
        <w:t>《</w:t>
      </w:r>
      <w:r>
        <w:rPr>
          <w:rFonts w:hint="eastAsia"/>
          <w:sz w:val="36"/>
          <w:szCs w:val="36"/>
          <w:lang w:eastAsia="zh-CN"/>
        </w:rPr>
        <w:t>家用儿童学习桌、椅</w:t>
      </w:r>
      <w:r>
        <w:rPr>
          <w:rFonts w:hint="eastAsia"/>
          <w:sz w:val="36"/>
          <w:szCs w:val="36"/>
        </w:rPr>
        <w:t>》国家标准</w:t>
      </w:r>
    </w:p>
    <w:p w14:paraId="12620758">
      <w:pPr>
        <w:jc w:val="center"/>
        <w:rPr>
          <w:rFonts w:hint="eastAsia"/>
          <w:sz w:val="36"/>
          <w:szCs w:val="36"/>
        </w:rPr>
      </w:pPr>
      <w:r>
        <w:rPr>
          <w:rFonts w:hint="eastAsia"/>
          <w:sz w:val="36"/>
          <w:szCs w:val="36"/>
        </w:rPr>
        <w:t>（</w:t>
      </w:r>
      <w:r>
        <w:rPr>
          <w:rFonts w:hint="eastAsia"/>
          <w:sz w:val="36"/>
          <w:szCs w:val="36"/>
          <w:lang w:val="en-US" w:eastAsia="zh-CN"/>
        </w:rPr>
        <w:t>送审</w:t>
      </w:r>
      <w:r>
        <w:rPr>
          <w:rFonts w:hint="eastAsia"/>
          <w:sz w:val="36"/>
          <w:szCs w:val="36"/>
        </w:rPr>
        <w:t>稿）编制说明</w:t>
      </w:r>
    </w:p>
    <w:p w14:paraId="77D50886">
      <w:pPr>
        <w:jc w:val="center"/>
        <w:rPr>
          <w:rFonts w:hint="eastAsia"/>
          <w:sz w:val="36"/>
          <w:szCs w:val="36"/>
        </w:rPr>
      </w:pPr>
    </w:p>
    <w:p w14:paraId="5D06AD32">
      <w:pPr>
        <w:pStyle w:val="15"/>
        <w:spacing w:line="360" w:lineRule="auto"/>
        <w:ind w:firstLine="0" w:firstLineChars="0"/>
        <w:rPr>
          <w:rFonts w:hint="eastAsia" w:ascii="黑体" w:eastAsia="黑体"/>
          <w:sz w:val="28"/>
          <w:szCs w:val="28"/>
        </w:rPr>
      </w:pPr>
      <w:r>
        <w:rPr>
          <w:rFonts w:hint="eastAsia" w:ascii="黑体" w:eastAsia="黑体"/>
          <w:sz w:val="28"/>
          <w:szCs w:val="28"/>
        </w:rPr>
        <w:t>1  工作简况，包括任务来源、制定背景、起草过程等</w:t>
      </w:r>
    </w:p>
    <w:p w14:paraId="425E9EC4">
      <w:pPr>
        <w:pStyle w:val="15"/>
        <w:spacing w:line="360" w:lineRule="auto"/>
        <w:ind w:firstLine="0" w:firstLineChars="0"/>
        <w:rPr>
          <w:rFonts w:hint="eastAsia" w:ascii="黑体" w:hAnsi="Times New Roman" w:eastAsia="黑体" w:cs="Times New Roman"/>
          <w:sz w:val="28"/>
          <w:szCs w:val="28"/>
        </w:rPr>
      </w:pPr>
      <w:r>
        <w:rPr>
          <w:rFonts w:hint="eastAsia" w:ascii="黑体" w:hAnsi="Times New Roman" w:eastAsia="黑体" w:cs="Times New Roman"/>
          <w:sz w:val="28"/>
          <w:szCs w:val="28"/>
        </w:rPr>
        <w:t>1.1任务来源</w:t>
      </w:r>
    </w:p>
    <w:p w14:paraId="1440726A">
      <w:pPr>
        <w:spacing w:line="360" w:lineRule="auto"/>
        <w:ind w:firstLine="480" w:firstLineChars="200"/>
        <w:jc w:val="left"/>
        <w:rPr>
          <w:rFonts w:hint="eastAsia" w:eastAsia="宋体"/>
          <w:sz w:val="24"/>
          <w:lang w:eastAsia="zh-CN"/>
        </w:rPr>
      </w:pPr>
      <w:r>
        <w:rPr>
          <w:rFonts w:hint="eastAsia"/>
          <w:sz w:val="24"/>
        </w:rPr>
        <w:t>2024年</w:t>
      </w:r>
      <w:r>
        <w:rPr>
          <w:rFonts w:hint="eastAsia"/>
          <w:sz w:val="24"/>
          <w:lang w:val="en-US" w:eastAsia="zh-CN"/>
        </w:rPr>
        <w:t>12</w:t>
      </w:r>
      <w:r>
        <w:rPr>
          <w:rFonts w:hint="eastAsia"/>
          <w:sz w:val="24"/>
        </w:rPr>
        <w:t>月</w:t>
      </w:r>
      <w:r>
        <w:rPr>
          <w:rFonts w:hint="eastAsia"/>
          <w:sz w:val="24"/>
          <w:lang w:val="en-US" w:eastAsia="zh-CN"/>
        </w:rPr>
        <w:t>3</w:t>
      </w:r>
      <w:r>
        <w:rPr>
          <w:rFonts w:hint="eastAsia"/>
          <w:sz w:val="24"/>
        </w:rPr>
        <w:t>日</w:t>
      </w:r>
      <w:r>
        <w:rPr>
          <w:rFonts w:hint="eastAsia"/>
          <w:sz w:val="24"/>
          <w:lang w:eastAsia="zh-CN"/>
        </w:rPr>
        <w:t>，</w:t>
      </w:r>
      <w:r>
        <w:rPr>
          <w:rFonts w:hint="eastAsia"/>
          <w:sz w:val="24"/>
        </w:rPr>
        <w:t>国家标准化管理委员会通过《国家标准化管理委员会关于下达2024年第九批推荐性国家标准计划及相关标准外文版计划的通知》下达了《</w:t>
      </w:r>
      <w:r>
        <w:rPr>
          <w:rFonts w:hint="eastAsia"/>
          <w:sz w:val="24"/>
          <w:lang w:eastAsia="zh-CN"/>
        </w:rPr>
        <w:t>家用儿童学习桌、椅</w:t>
      </w:r>
      <w:r>
        <w:rPr>
          <w:rFonts w:hint="eastAsia"/>
          <w:sz w:val="24"/>
        </w:rPr>
        <w:t>》标准的</w:t>
      </w:r>
      <w:r>
        <w:rPr>
          <w:rFonts w:hint="eastAsia"/>
          <w:sz w:val="24"/>
          <w:lang w:eastAsia="zh-CN"/>
        </w:rPr>
        <w:t>制定</w:t>
      </w:r>
      <w:r>
        <w:rPr>
          <w:rFonts w:hint="eastAsia"/>
          <w:sz w:val="24"/>
        </w:rPr>
        <w:t>计划，计划号为：20243441-T-607</w:t>
      </w:r>
      <w:r>
        <w:rPr>
          <w:rFonts w:hint="eastAsia"/>
          <w:sz w:val="24"/>
          <w:lang w:eastAsia="zh-CN"/>
        </w:rPr>
        <w:t>。本标准由全国家具标准化技术委员会（SAC/TC 480）归口。</w:t>
      </w:r>
    </w:p>
    <w:p w14:paraId="532F53E3">
      <w:pPr>
        <w:pStyle w:val="15"/>
        <w:spacing w:line="360" w:lineRule="auto"/>
        <w:ind w:firstLine="0" w:firstLineChars="0"/>
        <w:rPr>
          <w:rFonts w:hint="eastAsia" w:ascii="黑体" w:hAnsi="Times New Roman" w:eastAsia="黑体" w:cs="Times New Roman"/>
          <w:sz w:val="28"/>
          <w:szCs w:val="28"/>
        </w:rPr>
      </w:pPr>
      <w:r>
        <w:rPr>
          <w:rFonts w:hint="eastAsia" w:ascii="黑体" w:hAnsi="Times New Roman" w:eastAsia="黑体" w:cs="Times New Roman"/>
          <w:sz w:val="28"/>
          <w:szCs w:val="28"/>
        </w:rPr>
        <w:t xml:space="preserve">1.2 </w:t>
      </w:r>
      <w:r>
        <w:rPr>
          <w:rFonts w:hint="eastAsia" w:ascii="黑体" w:hAnsi="Times New Roman" w:eastAsia="黑体" w:cs="Times New Roman"/>
          <w:sz w:val="28"/>
          <w:szCs w:val="28"/>
          <w:lang w:eastAsia="zh-CN"/>
        </w:rPr>
        <w:t>制定</w:t>
      </w:r>
      <w:r>
        <w:rPr>
          <w:rFonts w:hint="eastAsia" w:ascii="黑体" w:hAnsi="Times New Roman" w:eastAsia="黑体" w:cs="Times New Roman"/>
          <w:sz w:val="28"/>
          <w:szCs w:val="28"/>
        </w:rPr>
        <w:t>背景</w:t>
      </w:r>
    </w:p>
    <w:p w14:paraId="386871AC">
      <w:pPr>
        <w:pStyle w:val="15"/>
        <w:keepNext w:val="0"/>
        <w:keepLines w:val="0"/>
        <w:pageBreakBefore w:val="0"/>
        <w:widowControl/>
        <w:kinsoku/>
        <w:wordWrap/>
        <w:overflowPunct/>
        <w:topLinePunct w:val="0"/>
        <w:autoSpaceDE w:val="0"/>
        <w:autoSpaceDN w:val="0"/>
        <w:bidi w:val="0"/>
        <w:adjustRightInd/>
        <w:snapToGrid/>
        <w:spacing w:line="360" w:lineRule="auto"/>
        <w:ind w:firstLine="480" w:firstLineChars="200"/>
        <w:textAlignment w:val="auto"/>
        <w:rPr>
          <w:rFonts w:hint="eastAsia" w:ascii="Calibri" w:cs="Calibri"/>
          <w:kern w:val="2"/>
          <w:sz w:val="24"/>
          <w:szCs w:val="24"/>
          <w:lang w:val="en-US" w:eastAsia="zh-CN" w:bidi="ar-SA"/>
        </w:rPr>
      </w:pPr>
      <w:r>
        <w:rPr>
          <w:rFonts w:hint="eastAsia" w:ascii="Calibri" w:cs="Calibri"/>
          <w:kern w:val="2"/>
          <w:sz w:val="24"/>
          <w:szCs w:val="24"/>
          <w:lang w:val="en-US" w:eastAsia="zh-CN" w:bidi="ar-SA"/>
        </w:rPr>
        <w:t>我国</w:t>
      </w:r>
      <w:r>
        <w:rPr>
          <w:rFonts w:hint="eastAsia" w:ascii="Calibri" w:hAnsi="Calibri" w:eastAsia="宋体" w:cs="Calibri"/>
          <w:kern w:val="2"/>
          <w:sz w:val="24"/>
          <w:szCs w:val="24"/>
          <w:lang w:val="en-US" w:eastAsia="zh-CN" w:bidi="ar-SA"/>
        </w:rPr>
        <w:t>庞大的儿童人口数量为儿童学习用品市场提供了巨大的发展空间。由其是疫情过后，儿童在家庭的学习时间增多，家长群体开始更加关注家用儿童学习桌、椅的功能性，2022年我国功能性儿童学习用品市场规模达241亿元。根据观研报告网的数据，2021年我国儿童学习桌、椅市场规模突破100亿元，达130.4亿元，较上年同比增长33.33%。2022年我国家用儿童学习桌、椅行业进一步增长，达161.8亿元，同比增长24.08%。家用儿童学习桌、椅不仅是大宗消费品，同时使用人群为未成年人，其质量安全水平直接关系到我国儿童和未成年人的身心健康发展</w:t>
      </w:r>
      <w:r>
        <w:rPr>
          <w:rFonts w:hint="eastAsia" w:ascii="Calibri" w:cs="Calibri"/>
          <w:kern w:val="2"/>
          <w:sz w:val="24"/>
          <w:szCs w:val="24"/>
          <w:lang w:val="en-US" w:eastAsia="zh-CN" w:bidi="ar-SA"/>
        </w:rPr>
        <w:t>。</w:t>
      </w:r>
    </w:p>
    <w:p w14:paraId="14173B76">
      <w:pPr>
        <w:pStyle w:val="15"/>
        <w:keepNext w:val="0"/>
        <w:keepLines w:val="0"/>
        <w:pageBreakBefore w:val="0"/>
        <w:widowControl/>
        <w:kinsoku/>
        <w:wordWrap/>
        <w:overflowPunct/>
        <w:topLinePunct w:val="0"/>
        <w:autoSpaceDE w:val="0"/>
        <w:autoSpaceDN w:val="0"/>
        <w:bidi w:val="0"/>
        <w:adjustRightInd/>
        <w:snapToGrid/>
        <w:spacing w:line="360" w:lineRule="auto"/>
        <w:ind w:firstLine="480" w:firstLineChars="200"/>
        <w:textAlignment w:val="auto"/>
        <w:rPr>
          <w:rFonts w:hint="eastAsia"/>
          <w:sz w:val="24"/>
          <w:szCs w:val="24"/>
          <w:highlight w:val="none"/>
          <w:lang w:val="en-US" w:eastAsia="zh-CN"/>
        </w:rPr>
      </w:pPr>
      <w:r>
        <w:rPr>
          <w:rFonts w:hint="eastAsia"/>
          <w:sz w:val="24"/>
          <w:szCs w:val="24"/>
          <w:highlight w:val="none"/>
          <w:lang w:val="en-US" w:eastAsia="zh-CN"/>
        </w:rPr>
        <w:t>家用儿童学习桌、椅也具有设计上的创新性，桌面高度可无级调节，桌面角度可调，座椅座面和靠背可调，可以与使用者的身高与使用习惯等高度契合，确保儿童始终处于最佳的书写或学习姿势，可显著提升儿童的使用体验，降低长时间学习造成的健康问题（如：近视等，2020年，我国儿童青少年总体近视率为52.7%）。此外，随着家具电气化、智能化的发展，目前很多家用儿童学习桌、椅还加入了电动升降或其他智能化功能。</w:t>
      </w:r>
    </w:p>
    <w:p w14:paraId="60D01356">
      <w:pPr>
        <w:pStyle w:val="15"/>
        <w:keepNext w:val="0"/>
        <w:keepLines w:val="0"/>
        <w:pageBreakBefore w:val="0"/>
        <w:widowControl/>
        <w:kinsoku/>
        <w:wordWrap/>
        <w:overflowPunct/>
        <w:topLinePunct w:val="0"/>
        <w:autoSpaceDE w:val="0"/>
        <w:autoSpaceDN w:val="0"/>
        <w:bidi w:val="0"/>
        <w:adjustRightInd/>
        <w:snapToGrid/>
        <w:spacing w:line="360" w:lineRule="auto"/>
        <w:ind w:firstLine="480" w:firstLineChars="200"/>
        <w:textAlignment w:val="auto"/>
        <w:rPr>
          <w:rFonts w:hint="eastAsia"/>
          <w:sz w:val="24"/>
          <w:szCs w:val="24"/>
          <w:highlight w:val="none"/>
          <w:lang w:val="en-US" w:eastAsia="zh-CN"/>
        </w:rPr>
      </w:pPr>
      <w:r>
        <w:rPr>
          <w:rFonts w:hint="eastAsia"/>
          <w:sz w:val="24"/>
          <w:szCs w:val="24"/>
          <w:highlight w:val="none"/>
          <w:lang w:val="en-US" w:eastAsia="zh-CN"/>
        </w:rPr>
        <w:t>我国家用儿童学习桌、椅产业起步时间虽短，其市场前景十分广阔。目前市场上的龙头企业品牌影响力还较低，技术创新缺乏标准技术支撑。与我国家用儿童学习桌、椅产业的快速发展相比，其相关标准的发展不能满足基本的生产需求，这已经成为行业继续发展前行的一个瓶颈和行业共识，我们非常有必要制定一个有针对性、能体现其特殊性的标准，不仅为本产品提供质量检验依据，也为家用儿童学习桌、椅产品提供质量保证。</w:t>
      </w:r>
    </w:p>
    <w:p w14:paraId="7D973E4D">
      <w:pPr>
        <w:pStyle w:val="15"/>
        <w:spacing w:line="360" w:lineRule="auto"/>
        <w:ind w:firstLine="0" w:firstLineChars="0"/>
        <w:rPr>
          <w:rFonts w:hint="eastAsia" w:ascii="黑体" w:hAnsi="Times New Roman" w:eastAsia="黑体" w:cs="Times New Roman"/>
          <w:sz w:val="28"/>
          <w:szCs w:val="28"/>
          <w:lang w:val="en-US" w:eastAsia="zh-CN"/>
        </w:rPr>
      </w:pPr>
      <w:r>
        <w:rPr>
          <w:rFonts w:hint="eastAsia" w:ascii="黑体" w:hAnsi="Times New Roman" w:eastAsia="黑体" w:cs="Times New Roman"/>
          <w:sz w:val="28"/>
          <w:szCs w:val="28"/>
          <w:lang w:val="en-US" w:eastAsia="zh-CN"/>
        </w:rPr>
        <w:t>1.3起草过程</w:t>
      </w:r>
    </w:p>
    <w:p w14:paraId="23AE300B">
      <w:pPr>
        <w:spacing w:line="440" w:lineRule="exact"/>
        <w:rPr>
          <w:rFonts w:hint="default" w:ascii="黑体" w:hAnsi="宋体" w:eastAsia="黑体"/>
          <w:color w:val="000000"/>
          <w:sz w:val="24"/>
          <w:lang w:val="en-US" w:eastAsia="zh-CN"/>
        </w:rPr>
      </w:pPr>
      <w:r>
        <w:rPr>
          <w:rFonts w:hint="eastAsia" w:ascii="黑体" w:hAnsi="宋体" w:eastAsia="黑体"/>
          <w:color w:val="000000"/>
          <w:sz w:val="24"/>
        </w:rPr>
        <w:t>1.3.</w:t>
      </w:r>
      <w:r>
        <w:rPr>
          <w:rFonts w:hint="eastAsia" w:ascii="黑体" w:hAnsi="宋体" w:eastAsia="黑体"/>
          <w:color w:val="000000"/>
          <w:sz w:val="24"/>
          <w:lang w:val="en-US" w:eastAsia="zh-CN"/>
        </w:rPr>
        <w:t>1成立起草小组</w:t>
      </w:r>
    </w:p>
    <w:p w14:paraId="2575F429">
      <w:pPr>
        <w:pStyle w:val="15"/>
        <w:keepNext w:val="0"/>
        <w:keepLines w:val="0"/>
        <w:pageBreakBefore w:val="0"/>
        <w:widowControl/>
        <w:kinsoku/>
        <w:wordWrap/>
        <w:overflowPunct/>
        <w:topLinePunct w:val="0"/>
        <w:autoSpaceDE w:val="0"/>
        <w:autoSpaceDN w:val="0"/>
        <w:bidi w:val="0"/>
        <w:adjustRightInd/>
        <w:snapToGrid/>
        <w:spacing w:line="360" w:lineRule="auto"/>
        <w:ind w:left="0" w:leftChars="0" w:firstLine="480" w:firstLineChars="200"/>
        <w:textAlignment w:val="auto"/>
        <w:rPr>
          <w:rFonts w:hint="eastAsia" w:hAnsi="宋体" w:cs="Calibri"/>
          <w:sz w:val="24"/>
          <w:lang w:val="en-US" w:eastAsia="zh-CN" w:bidi="ar-SA"/>
        </w:rPr>
      </w:pPr>
      <w:r>
        <w:rPr>
          <w:rFonts w:ascii="宋体" w:hAnsi="宋体" w:eastAsia="宋体" w:cs="Calibri"/>
          <w:sz w:val="24"/>
          <w:lang w:bidi="ar-SA"/>
        </w:rPr>
        <w:t>在2024年的</w:t>
      </w:r>
      <w:r>
        <w:rPr>
          <w:rFonts w:hint="eastAsia" w:hAnsi="宋体" w:cs="Calibri"/>
          <w:sz w:val="24"/>
          <w:lang w:val="en-US" w:eastAsia="zh-CN" w:bidi="ar-SA"/>
        </w:rPr>
        <w:t>12</w:t>
      </w:r>
      <w:r>
        <w:rPr>
          <w:rFonts w:ascii="宋体" w:hAnsi="宋体" w:eastAsia="宋体" w:cs="Calibri"/>
          <w:sz w:val="24"/>
          <w:lang w:bidi="ar-SA"/>
        </w:rPr>
        <w:t>月，</w:t>
      </w:r>
      <w:r>
        <w:rPr>
          <w:rFonts w:hint="eastAsia" w:hAnsi="宋体" w:cs="Calibri"/>
          <w:sz w:val="24"/>
          <w:lang w:val="en-US" w:eastAsia="zh-CN" w:bidi="ar-SA"/>
        </w:rPr>
        <w:t>全国家具标准化技术委员会将该标准项目下达给了项目申报单位上海市质量监督检验技术研究院有限公司（机构改革，2025年7月1日由上海市质量监督检验技术研究院转制成立），并组织成立了该标准制定的起草小组，起草小组成员有杭州两平米智能家居科技有限公司、杭州黑白调科技有限公司、爱果乐科技股份有限公司、山东光明园迪儿童家具科技有限公司、育才控股集团股份有限公司、杭州老爸评测科技股份有限公司、浙江摩伽智能家居有限公司、泰仕特仪器（福建）有限公司、苏州市产品质量监督检验院、宁波市卓凯婴童用品有限公司、上海万木生源家居有限公司、江西省质量和标准化研究院、深圳必维华法商品检定有限公司。起草人员有从事标准化工作的、产品质量检验检测的、家具产品设计的、企业生产、销售管理等。</w:t>
      </w:r>
    </w:p>
    <w:p w14:paraId="10BCBA40">
      <w:pPr>
        <w:spacing w:line="440" w:lineRule="exact"/>
        <w:rPr>
          <w:rFonts w:hint="eastAsia" w:ascii="黑体" w:hAnsi="宋体" w:eastAsia="黑体"/>
          <w:color w:val="000000"/>
          <w:sz w:val="24"/>
        </w:rPr>
      </w:pPr>
      <w:r>
        <w:rPr>
          <w:rFonts w:hint="eastAsia" w:ascii="黑体" w:hAnsi="宋体" w:eastAsia="黑体"/>
          <w:color w:val="000000"/>
          <w:sz w:val="24"/>
        </w:rPr>
        <w:t>1.3.2 起草阶段</w:t>
      </w:r>
    </w:p>
    <w:p w14:paraId="133F6253">
      <w:pPr>
        <w:pStyle w:val="15"/>
        <w:keepNext w:val="0"/>
        <w:keepLines w:val="0"/>
        <w:pageBreakBefore w:val="0"/>
        <w:widowControl/>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Calibri" w:eastAsia="宋体" w:cs="Calibri"/>
          <w:sz w:val="24"/>
          <w:lang w:bidi="ar-SA"/>
        </w:rPr>
      </w:pPr>
      <w:r>
        <w:rPr>
          <w:rFonts w:hint="eastAsia" w:ascii="宋体" w:hAnsi="Calibri" w:eastAsia="宋体" w:cs="Calibri"/>
          <w:sz w:val="24"/>
          <w:lang w:bidi="ar-SA"/>
        </w:rPr>
        <w:t>2024年12月</w:t>
      </w:r>
      <w:r>
        <w:rPr>
          <w:rFonts w:hint="eastAsia" w:cs="Calibri"/>
          <w:sz w:val="24"/>
          <w:lang w:val="en-US" w:eastAsia="zh-CN" w:bidi="ar-SA"/>
        </w:rPr>
        <w:t>至2025年8月</w:t>
      </w:r>
      <w:r>
        <w:rPr>
          <w:rFonts w:hint="eastAsia" w:ascii="宋体" w:hAnsi="Calibri" w:eastAsia="宋体" w:cs="Calibri"/>
          <w:sz w:val="24"/>
          <w:lang w:bidi="ar-SA"/>
        </w:rPr>
        <w:t>，小组成员分工合作，</w:t>
      </w:r>
      <w:r>
        <w:rPr>
          <w:rFonts w:hint="eastAsia" w:cs="Calibri"/>
          <w:sz w:val="24"/>
          <w:lang w:val="en-US" w:eastAsia="zh-CN" w:bidi="ar-SA"/>
        </w:rPr>
        <w:t>对相关生产企业</w:t>
      </w:r>
      <w:r>
        <w:rPr>
          <w:rFonts w:hint="eastAsia" w:ascii="宋体" w:hAnsi="Calibri" w:eastAsia="宋体" w:cs="Calibri"/>
          <w:sz w:val="24"/>
          <w:lang w:bidi="ar-SA"/>
        </w:rPr>
        <w:t>、质检机构进行调研，收集生产企业多年来的生产设计经验、实验室检测数据、检测经验以及消费者投诉反映的经常性问题，了解该类产品的生产工艺、用料结构、销售状况、使用场合以及服务等情况；另一方面查阅</w:t>
      </w:r>
      <w:r>
        <w:rPr>
          <w:rFonts w:hint="eastAsia" w:cs="Calibri"/>
          <w:sz w:val="24"/>
          <w:lang w:val="en-US" w:eastAsia="zh-CN" w:bidi="ar-SA"/>
        </w:rPr>
        <w:t>相关</w:t>
      </w:r>
      <w:r>
        <w:rPr>
          <w:rFonts w:hint="eastAsia" w:ascii="宋体" w:hAnsi="Calibri" w:eastAsia="宋体" w:cs="Calibri"/>
          <w:sz w:val="24"/>
          <w:lang w:bidi="ar-SA"/>
        </w:rPr>
        <w:t>最新标准、技术法规，如</w:t>
      </w:r>
      <w:r>
        <w:rPr>
          <w:rFonts w:hint="eastAsia" w:cs="Calibri"/>
          <w:sz w:val="24"/>
          <w:lang w:val="en-US" w:eastAsia="zh-CN" w:bidi="ar-SA"/>
        </w:rPr>
        <w:t>GB 28007—2024</w:t>
      </w:r>
      <w:r>
        <w:rPr>
          <w:rFonts w:hint="eastAsia" w:ascii="宋体" w:hAnsi="Calibri" w:eastAsia="宋体" w:cs="Calibri"/>
          <w:sz w:val="24"/>
          <w:lang w:bidi="ar-SA"/>
        </w:rPr>
        <w:t xml:space="preserve"> 《婴幼儿及儿童家具安全技术规范》、GB</w:t>
      </w:r>
      <w:r>
        <w:rPr>
          <w:rFonts w:hint="eastAsia" w:cs="Calibri"/>
          <w:sz w:val="24"/>
          <w:lang w:val="en-US" w:eastAsia="zh-CN" w:bidi="ar-SA"/>
        </w:rPr>
        <w:t>/</w:t>
      </w:r>
      <w:r>
        <w:rPr>
          <w:rFonts w:hint="eastAsia" w:ascii="宋体" w:hAnsi="Calibri" w:eastAsia="宋体" w:cs="Calibri"/>
          <w:sz w:val="24"/>
          <w:lang w:bidi="ar-SA"/>
        </w:rPr>
        <w:t xml:space="preserve">T 43002-2023 </w:t>
      </w:r>
      <w:r>
        <w:rPr>
          <w:rFonts w:hint="eastAsia" w:cs="Calibri"/>
          <w:sz w:val="24"/>
          <w:lang w:eastAsia="zh-CN" w:bidi="ar-SA"/>
        </w:rPr>
        <w:t>《</w:t>
      </w:r>
      <w:r>
        <w:rPr>
          <w:rFonts w:hint="eastAsia" w:ascii="宋体" w:hAnsi="Calibri" w:eastAsia="宋体" w:cs="Calibri"/>
          <w:sz w:val="24"/>
          <w:lang w:bidi="ar-SA"/>
        </w:rPr>
        <w:t>儿童家具 质量检验及质量判定</w:t>
      </w:r>
      <w:r>
        <w:rPr>
          <w:rFonts w:hint="eastAsia" w:cs="Calibri"/>
          <w:sz w:val="24"/>
          <w:lang w:eastAsia="zh-CN" w:bidi="ar-SA"/>
        </w:rPr>
        <w:t>》、</w:t>
      </w:r>
      <w:r>
        <w:rPr>
          <w:rFonts w:hint="eastAsia" w:ascii="宋体" w:hAnsi="Calibri" w:eastAsia="宋体" w:cs="Calibri"/>
          <w:sz w:val="24"/>
          <w:lang w:bidi="ar-SA"/>
        </w:rPr>
        <w:t>GB/T 332</w:t>
      </w:r>
      <w:r>
        <w:rPr>
          <w:rFonts w:hint="eastAsia" w:cs="Calibri"/>
          <w:sz w:val="24"/>
          <w:lang w:val="en-US" w:eastAsia="zh-CN" w:bidi="ar-SA"/>
        </w:rPr>
        <w:t>4</w:t>
      </w:r>
      <w:r>
        <w:rPr>
          <w:rFonts w:hint="eastAsia" w:ascii="宋体" w:hAnsi="Calibri" w:eastAsia="宋体" w:cs="Calibri"/>
          <w:sz w:val="24"/>
          <w:lang w:bidi="ar-SA"/>
        </w:rPr>
        <w:t>—2024《</w:t>
      </w:r>
      <w:r>
        <w:rPr>
          <w:rFonts w:hint="eastAsia" w:cs="Calibri"/>
          <w:sz w:val="24"/>
          <w:lang w:val="en-US" w:eastAsia="zh-CN" w:bidi="ar-SA"/>
        </w:rPr>
        <w:t>木</w:t>
      </w:r>
      <w:r>
        <w:rPr>
          <w:rFonts w:hint="eastAsia" w:ascii="宋体" w:hAnsi="Calibri" w:eastAsia="宋体" w:cs="Calibri"/>
          <w:sz w:val="24"/>
          <w:lang w:bidi="ar-SA"/>
        </w:rPr>
        <w:t>家具通用技术条件》、GB/T 3325—2024《金属家具通用技术条件》</w:t>
      </w:r>
      <w:r>
        <w:rPr>
          <w:rFonts w:hint="eastAsia" w:cs="Calibri"/>
          <w:sz w:val="24"/>
          <w:lang w:eastAsia="zh-CN" w:bidi="ar-SA"/>
        </w:rPr>
        <w:t>、</w:t>
      </w:r>
      <w:r>
        <w:rPr>
          <w:rFonts w:hint="eastAsia" w:ascii="宋体" w:hAnsi="Calibri" w:eastAsia="宋体" w:cs="Calibri"/>
          <w:sz w:val="24"/>
          <w:lang w:bidi="ar-SA"/>
        </w:rPr>
        <w:t>GB/T 10357.</w:t>
      </w:r>
      <w:r>
        <w:rPr>
          <w:rFonts w:hint="eastAsia" w:cs="Calibri"/>
          <w:sz w:val="24"/>
          <w:lang w:val="en-US" w:eastAsia="zh-CN" w:bidi="ar-SA"/>
        </w:rPr>
        <w:t>1</w:t>
      </w:r>
      <w:r>
        <w:rPr>
          <w:rFonts w:hint="eastAsia" w:ascii="宋体" w:hAnsi="Calibri" w:eastAsia="宋体" w:cs="Calibri"/>
          <w:sz w:val="24"/>
          <w:lang w:bidi="ar-SA"/>
        </w:rPr>
        <w:t>—202</w:t>
      </w:r>
      <w:r>
        <w:rPr>
          <w:rFonts w:hint="eastAsia" w:cs="Calibri"/>
          <w:sz w:val="24"/>
          <w:lang w:val="en-US" w:eastAsia="zh-CN" w:bidi="ar-SA"/>
        </w:rPr>
        <w:t>4</w:t>
      </w:r>
      <w:r>
        <w:rPr>
          <w:rFonts w:hint="eastAsia" w:ascii="宋体" w:hAnsi="Calibri" w:eastAsia="宋体" w:cs="Calibri"/>
          <w:sz w:val="24"/>
          <w:lang w:bidi="ar-SA"/>
        </w:rPr>
        <w:t>《家具力学性能试验  第1部分：桌类强度和耐久性》</w:t>
      </w:r>
      <w:r>
        <w:rPr>
          <w:rFonts w:hint="eastAsia" w:cs="Calibri"/>
          <w:sz w:val="24"/>
          <w:lang w:eastAsia="zh-CN" w:bidi="ar-SA"/>
        </w:rPr>
        <w:t>、QB</w:t>
      </w:r>
      <w:r>
        <w:rPr>
          <w:rFonts w:hint="eastAsia" w:cs="Calibri"/>
          <w:sz w:val="24"/>
          <w:lang w:val="en-US" w:eastAsia="zh-CN" w:bidi="ar-SA"/>
        </w:rPr>
        <w:t>/</w:t>
      </w:r>
      <w:r>
        <w:rPr>
          <w:rFonts w:hint="eastAsia" w:cs="Calibri"/>
          <w:sz w:val="24"/>
          <w:lang w:eastAsia="zh-CN" w:bidi="ar-SA"/>
        </w:rPr>
        <w:t>T 5868—2023 《儿童座椅稳定性、强度和耐久性测试方法》</w:t>
      </w:r>
      <w:r>
        <w:rPr>
          <w:rFonts w:hint="eastAsia" w:ascii="宋体" w:hAnsi="Calibri" w:eastAsia="宋体" w:cs="Calibri"/>
          <w:sz w:val="24"/>
          <w:lang w:bidi="ar-SA"/>
        </w:rPr>
        <w:t>等资料。综合调研和相关标准指标、试验方法，确定了该标准的制定方案。</w:t>
      </w:r>
    </w:p>
    <w:p w14:paraId="56C23040">
      <w:pPr>
        <w:pStyle w:val="15"/>
        <w:keepNext w:val="0"/>
        <w:keepLines w:val="0"/>
        <w:pageBreakBefore w:val="0"/>
        <w:widowControl/>
        <w:kinsoku/>
        <w:wordWrap/>
        <w:overflowPunct/>
        <w:topLinePunct w:val="0"/>
        <w:autoSpaceDE w:val="0"/>
        <w:autoSpaceDN w:val="0"/>
        <w:bidi w:val="0"/>
        <w:adjustRightInd/>
        <w:snapToGrid/>
        <w:spacing w:line="360" w:lineRule="auto"/>
        <w:ind w:left="0" w:leftChars="0" w:firstLine="480" w:firstLineChars="200"/>
        <w:textAlignment w:val="auto"/>
        <w:rPr>
          <w:rFonts w:ascii="宋体" w:hAnsi="Calibri" w:eastAsia="宋体" w:cs="Calibri"/>
          <w:sz w:val="24"/>
          <w:lang w:bidi="ar-SA"/>
        </w:rPr>
      </w:pPr>
      <w:r>
        <w:rPr>
          <w:rFonts w:hint="eastAsia" w:ascii="宋体" w:hAnsi="Calibri" w:eastAsia="宋体" w:cs="Calibri"/>
          <w:sz w:val="24"/>
          <w:lang w:bidi="ar-SA"/>
        </w:rPr>
        <w:t>标准起草小组根据标准草案确定的内容，进一步</w:t>
      </w:r>
      <w:r>
        <w:rPr>
          <w:rFonts w:hint="eastAsia" w:cs="Calibri"/>
          <w:sz w:val="24"/>
          <w:lang w:val="en-US" w:eastAsia="zh-CN" w:bidi="ar-SA"/>
        </w:rPr>
        <w:t>整理编写标准文本及编制说明，</w:t>
      </w:r>
      <w:r>
        <w:rPr>
          <w:rFonts w:hint="eastAsia" w:ascii="宋体" w:hAnsi="Calibri" w:eastAsia="宋体" w:cs="Calibri"/>
          <w:sz w:val="24"/>
          <w:lang w:bidi="ar-SA"/>
        </w:rPr>
        <w:t>2025年</w:t>
      </w:r>
      <w:r>
        <w:rPr>
          <w:rFonts w:hint="eastAsia" w:cs="Calibri"/>
          <w:sz w:val="24"/>
          <w:lang w:val="en-US" w:eastAsia="zh-CN" w:bidi="ar-SA"/>
        </w:rPr>
        <w:t>11</w:t>
      </w:r>
      <w:r>
        <w:rPr>
          <w:rFonts w:hint="eastAsia" w:ascii="宋体" w:hAnsi="Calibri" w:eastAsia="宋体" w:cs="Calibri"/>
          <w:sz w:val="24"/>
          <w:lang w:bidi="ar-SA"/>
        </w:rPr>
        <w:t>月形成了标准</w:t>
      </w:r>
      <w:r>
        <w:rPr>
          <w:rFonts w:hint="eastAsia" w:cs="Calibri"/>
          <w:sz w:val="24"/>
          <w:lang w:val="en-US" w:eastAsia="zh-CN" w:bidi="ar-SA"/>
        </w:rPr>
        <w:t>征求意见材料</w:t>
      </w:r>
      <w:r>
        <w:rPr>
          <w:rFonts w:ascii="宋体" w:hAnsi="Calibri" w:eastAsia="宋体" w:cs="Calibri"/>
          <w:sz w:val="24"/>
          <w:lang w:bidi="ar-SA"/>
        </w:rPr>
        <w:t>。</w:t>
      </w:r>
    </w:p>
    <w:p w14:paraId="38113266">
      <w:pPr>
        <w:spacing w:line="440" w:lineRule="exact"/>
        <w:rPr>
          <w:rFonts w:hint="default" w:ascii="黑体" w:hAnsi="宋体" w:eastAsia="黑体"/>
          <w:color w:val="000000"/>
          <w:sz w:val="24"/>
          <w:lang w:val="en-US" w:eastAsia="zh-CN"/>
        </w:rPr>
      </w:pPr>
      <w:r>
        <w:rPr>
          <w:rFonts w:hint="default" w:ascii="黑体" w:hAnsi="宋体" w:eastAsia="黑体"/>
          <w:color w:val="000000"/>
          <w:sz w:val="24"/>
          <w:lang w:val="en-US" w:eastAsia="zh-CN"/>
        </w:rPr>
        <w:t>1.3.3 征求意见阶段</w:t>
      </w:r>
    </w:p>
    <w:p w14:paraId="1CB3784A">
      <w:pPr>
        <w:pStyle w:val="15"/>
        <w:keepNext w:val="0"/>
        <w:keepLines w:val="0"/>
        <w:pageBreakBefore w:val="0"/>
        <w:widowControl/>
        <w:kinsoku/>
        <w:wordWrap/>
        <w:overflowPunct/>
        <w:topLinePunct w:val="0"/>
        <w:autoSpaceDE w:val="0"/>
        <w:autoSpaceDN w:val="0"/>
        <w:bidi w:val="0"/>
        <w:adjustRightInd/>
        <w:snapToGrid/>
        <w:spacing w:line="360" w:lineRule="auto"/>
        <w:ind w:left="0" w:leftChars="0" w:firstLine="480" w:firstLineChars="200"/>
        <w:textAlignment w:val="auto"/>
        <w:rPr>
          <w:rFonts w:hint="eastAsia" w:cs="Calibri"/>
          <w:sz w:val="24"/>
          <w:lang w:val="en-US" w:eastAsia="zh-CN" w:bidi="ar-SA"/>
        </w:rPr>
      </w:pPr>
      <w:r>
        <w:rPr>
          <w:rFonts w:hint="default" w:ascii="宋体" w:hAnsi="Calibri" w:eastAsia="宋体" w:cs="Calibri"/>
          <w:sz w:val="24"/>
          <w:lang w:val="en-US" w:eastAsia="zh-CN" w:bidi="ar-SA"/>
        </w:rPr>
        <w:t>2025年</w:t>
      </w:r>
      <w:r>
        <w:rPr>
          <w:rFonts w:hint="eastAsia" w:cs="Calibri"/>
          <w:sz w:val="24"/>
          <w:lang w:val="en-US" w:eastAsia="zh-CN" w:bidi="ar-SA"/>
        </w:rPr>
        <w:t>12</w:t>
      </w:r>
      <w:r>
        <w:rPr>
          <w:rFonts w:hint="default" w:ascii="宋体" w:hAnsi="Calibri" w:eastAsia="宋体" w:cs="Calibri"/>
          <w:sz w:val="24"/>
          <w:lang w:val="en-US" w:eastAsia="zh-CN" w:bidi="ar-SA"/>
        </w:rPr>
        <w:t>月</w:t>
      </w:r>
      <w:r>
        <w:rPr>
          <w:rFonts w:hint="eastAsia" w:cs="Calibri"/>
          <w:sz w:val="24"/>
          <w:lang w:val="en-US" w:eastAsia="zh-CN" w:bidi="ar-SA"/>
        </w:rPr>
        <w:t>9</w:t>
      </w:r>
      <w:r>
        <w:rPr>
          <w:rFonts w:hint="default" w:ascii="宋体" w:hAnsi="Calibri" w:eastAsia="宋体" w:cs="Calibri"/>
          <w:sz w:val="24"/>
          <w:lang w:val="en-US" w:eastAsia="zh-CN" w:bidi="ar-SA"/>
        </w:rPr>
        <w:t>日至</w:t>
      </w:r>
      <w:r>
        <w:rPr>
          <w:rFonts w:hint="eastAsia" w:cs="Calibri"/>
          <w:sz w:val="24"/>
          <w:lang w:val="en-US" w:eastAsia="zh-CN" w:bidi="ar-SA"/>
        </w:rPr>
        <w:t>2026年2</w:t>
      </w:r>
      <w:r>
        <w:rPr>
          <w:rFonts w:hint="default" w:ascii="宋体" w:hAnsi="Calibri" w:eastAsia="宋体" w:cs="Calibri"/>
          <w:sz w:val="24"/>
          <w:lang w:val="en-US" w:eastAsia="zh-CN" w:bidi="ar-SA"/>
        </w:rPr>
        <w:t>月</w:t>
      </w:r>
      <w:r>
        <w:rPr>
          <w:rFonts w:hint="eastAsia" w:cs="Calibri"/>
          <w:sz w:val="24"/>
          <w:lang w:val="en-US" w:eastAsia="zh-CN" w:bidi="ar-SA"/>
        </w:rPr>
        <w:t>7</w:t>
      </w:r>
      <w:r>
        <w:rPr>
          <w:rFonts w:hint="default" w:ascii="宋体" w:hAnsi="Calibri" w:eastAsia="宋体" w:cs="Calibri"/>
          <w:sz w:val="24"/>
          <w:lang w:val="en-US" w:eastAsia="zh-CN" w:bidi="ar-SA"/>
        </w:rPr>
        <w:t>日，全国家具标准化技术委员会通过</w:t>
      </w:r>
      <w:r>
        <w:rPr>
          <w:rFonts w:hint="eastAsia" w:cs="Calibri"/>
          <w:sz w:val="24"/>
          <w:lang w:val="en-US" w:eastAsia="zh-CN" w:bidi="ar-SA"/>
        </w:rPr>
        <w:t>《</w:t>
      </w:r>
      <w:r>
        <w:rPr>
          <w:rFonts w:hint="default" w:ascii="宋体" w:hAnsi="Calibri" w:eastAsia="宋体" w:cs="Calibri"/>
          <w:sz w:val="24"/>
          <w:lang w:val="en-US" w:eastAsia="zh-CN" w:bidi="ar-SA"/>
        </w:rPr>
        <w:t>关于对《家用儿童学习桌、椅》等3项国家标准（征求意见稿）征求意见的通知</w:t>
      </w:r>
      <w:r>
        <w:rPr>
          <w:rFonts w:hint="eastAsia" w:cs="Calibri"/>
          <w:sz w:val="24"/>
          <w:lang w:val="en-US" w:eastAsia="zh-CN" w:bidi="ar-SA"/>
        </w:rPr>
        <w:t>》（全国家具标委会〔2025〕51号）</w:t>
      </w:r>
      <w:r>
        <w:rPr>
          <w:rFonts w:hint="default" w:ascii="宋体" w:hAnsi="Calibri" w:eastAsia="宋体" w:cs="Calibri"/>
          <w:sz w:val="24"/>
          <w:lang w:val="en-US" w:eastAsia="zh-CN" w:bidi="ar-SA"/>
        </w:rPr>
        <w:t>向全体标委会委员、观察员、相关生产者、销售者、行业协会等广泛征求意见，并在全国家具标准化技术委员会等网站上公开征求意见。202</w:t>
      </w:r>
      <w:r>
        <w:rPr>
          <w:rFonts w:hint="eastAsia" w:cs="Calibri"/>
          <w:sz w:val="24"/>
          <w:lang w:val="en-US" w:eastAsia="zh-CN" w:bidi="ar-SA"/>
        </w:rPr>
        <w:t>6</w:t>
      </w:r>
      <w:r>
        <w:rPr>
          <w:rFonts w:hint="default" w:ascii="宋体" w:hAnsi="Calibri" w:eastAsia="宋体" w:cs="Calibri"/>
          <w:sz w:val="24"/>
          <w:lang w:val="en-US" w:eastAsia="zh-CN" w:bidi="ar-SA"/>
        </w:rPr>
        <w:t>年</w:t>
      </w:r>
      <w:r>
        <w:rPr>
          <w:rFonts w:hint="eastAsia" w:cs="Calibri"/>
          <w:sz w:val="24"/>
          <w:lang w:val="en-US" w:eastAsia="zh-CN" w:bidi="ar-SA"/>
        </w:rPr>
        <w:t>2</w:t>
      </w:r>
      <w:r>
        <w:rPr>
          <w:rFonts w:hint="default" w:ascii="宋体" w:hAnsi="Calibri" w:eastAsia="宋体" w:cs="Calibri"/>
          <w:sz w:val="24"/>
          <w:lang w:val="en-US" w:eastAsia="zh-CN" w:bidi="ar-SA"/>
        </w:rPr>
        <w:t>月</w:t>
      </w:r>
      <w:r>
        <w:rPr>
          <w:rFonts w:hint="eastAsia" w:cs="Calibri"/>
          <w:sz w:val="24"/>
          <w:lang w:val="en-US" w:eastAsia="zh-CN" w:bidi="ar-SA"/>
        </w:rPr>
        <w:t>9</w:t>
      </w:r>
      <w:r>
        <w:rPr>
          <w:rFonts w:hint="default" w:ascii="宋体" w:hAnsi="Calibri" w:eastAsia="宋体" w:cs="Calibri"/>
          <w:sz w:val="24"/>
          <w:lang w:val="en-US" w:eastAsia="zh-CN" w:bidi="ar-SA"/>
        </w:rPr>
        <w:t>日，标准起草小组收到回复意见的单位数</w:t>
      </w:r>
      <w:r>
        <w:rPr>
          <w:rFonts w:hint="eastAsia" w:cs="Calibri"/>
          <w:sz w:val="24"/>
          <w:lang w:val="en-US" w:eastAsia="zh-CN" w:bidi="ar-SA"/>
        </w:rPr>
        <w:t>14</w:t>
      </w:r>
      <w:r>
        <w:rPr>
          <w:rFonts w:hint="default" w:ascii="宋体" w:hAnsi="Calibri" w:eastAsia="宋体" w:cs="Calibri"/>
          <w:sz w:val="24"/>
          <w:lang w:val="en-US" w:eastAsia="zh-CN" w:bidi="ar-SA"/>
        </w:rPr>
        <w:t>个，提出意见或建议的单位数</w:t>
      </w:r>
      <w:r>
        <w:rPr>
          <w:rFonts w:hint="eastAsia" w:cs="Calibri"/>
          <w:sz w:val="24"/>
          <w:lang w:val="en-US" w:eastAsia="zh-CN" w:bidi="ar-SA"/>
        </w:rPr>
        <w:t>12</w:t>
      </w:r>
      <w:r>
        <w:rPr>
          <w:rFonts w:hint="default" w:ascii="宋体" w:hAnsi="Calibri" w:eastAsia="宋体" w:cs="Calibri"/>
          <w:sz w:val="24"/>
          <w:lang w:val="en-US" w:eastAsia="zh-CN" w:bidi="ar-SA"/>
        </w:rPr>
        <w:t>个，无意见的单位数2个。共收集意见</w:t>
      </w:r>
      <w:r>
        <w:rPr>
          <w:rFonts w:hint="eastAsia" w:cs="Calibri"/>
          <w:sz w:val="24"/>
          <w:lang w:val="en-US" w:eastAsia="zh-CN" w:bidi="ar-SA"/>
        </w:rPr>
        <w:t>93</w:t>
      </w:r>
      <w:r>
        <w:rPr>
          <w:rFonts w:hint="default" w:ascii="宋体" w:hAnsi="Calibri" w:eastAsia="宋体" w:cs="Calibri"/>
          <w:sz w:val="24"/>
          <w:lang w:val="en-US" w:eastAsia="zh-CN" w:bidi="ar-SA"/>
        </w:rPr>
        <w:t>条，经过整理分析，采纳了</w:t>
      </w:r>
      <w:r>
        <w:rPr>
          <w:rFonts w:hint="eastAsia" w:cs="Calibri"/>
          <w:sz w:val="24"/>
          <w:lang w:val="en-US" w:eastAsia="zh-CN" w:bidi="ar-SA"/>
        </w:rPr>
        <w:t>82</w:t>
      </w:r>
      <w:r>
        <w:rPr>
          <w:rFonts w:hint="default" w:ascii="宋体" w:hAnsi="Calibri" w:eastAsia="宋体" w:cs="Calibri"/>
          <w:sz w:val="24"/>
          <w:lang w:val="en-US" w:eastAsia="zh-CN" w:bidi="ar-SA"/>
        </w:rPr>
        <w:t>条，不采纳</w:t>
      </w:r>
      <w:r>
        <w:rPr>
          <w:rFonts w:hint="eastAsia" w:cs="Calibri"/>
          <w:sz w:val="24"/>
          <w:lang w:val="en-US" w:eastAsia="zh-CN" w:bidi="ar-SA"/>
        </w:rPr>
        <w:t>4</w:t>
      </w:r>
      <w:r>
        <w:rPr>
          <w:rFonts w:hint="default" w:ascii="宋体" w:hAnsi="Calibri" w:eastAsia="宋体" w:cs="Calibri"/>
          <w:sz w:val="24"/>
          <w:lang w:val="en-US" w:eastAsia="zh-CN" w:bidi="ar-SA"/>
        </w:rPr>
        <w:t>条</w:t>
      </w:r>
      <w:r>
        <w:rPr>
          <w:rFonts w:hint="eastAsia" w:cs="Calibri"/>
          <w:sz w:val="24"/>
          <w:lang w:val="en-US" w:eastAsia="zh-CN" w:bidi="ar-SA"/>
        </w:rPr>
        <w:t>，部分采纳7条</w:t>
      </w:r>
      <w:bookmarkStart w:id="2" w:name="_GoBack"/>
      <w:bookmarkEnd w:id="2"/>
      <w:r>
        <w:rPr>
          <w:rFonts w:hint="eastAsia" w:cs="Calibri"/>
          <w:sz w:val="24"/>
          <w:lang w:val="en-US" w:eastAsia="zh-CN" w:bidi="ar-SA"/>
        </w:rPr>
        <w:t>。</w:t>
      </w:r>
    </w:p>
    <w:p w14:paraId="22269D84">
      <w:pPr>
        <w:spacing w:line="440" w:lineRule="exact"/>
        <w:rPr>
          <w:rFonts w:hint="eastAsia" w:ascii="黑体" w:hAnsi="黑体" w:eastAsia="黑体" w:cs="黑体"/>
          <w:sz w:val="24"/>
          <w:lang w:val="en-US" w:eastAsia="zh-CN" w:bidi="ar-SA"/>
        </w:rPr>
      </w:pPr>
      <w:r>
        <w:rPr>
          <w:rFonts w:hint="eastAsia" w:ascii="黑体" w:hAnsi="黑体" w:eastAsia="黑体" w:cs="黑体"/>
          <w:sz w:val="24"/>
          <w:lang w:val="en-US" w:eastAsia="zh-CN" w:bidi="ar-SA"/>
        </w:rPr>
        <w:t>1.3.4 审查阶段</w:t>
      </w:r>
    </w:p>
    <w:p w14:paraId="71F42540">
      <w:pPr>
        <w:spacing w:line="440" w:lineRule="exact"/>
        <w:rPr>
          <w:rFonts w:hint="eastAsia" w:ascii="黑体" w:hAnsi="黑体" w:eastAsia="黑体" w:cs="黑体"/>
          <w:sz w:val="24"/>
          <w:lang w:val="en-US" w:eastAsia="zh-CN" w:bidi="ar-SA"/>
        </w:rPr>
      </w:pPr>
    </w:p>
    <w:p w14:paraId="619F8C3E">
      <w:pPr>
        <w:pStyle w:val="15"/>
        <w:spacing w:line="360" w:lineRule="auto"/>
        <w:ind w:firstLine="0" w:firstLineChars="0"/>
        <w:rPr>
          <w:rFonts w:hint="eastAsia" w:ascii="黑体" w:eastAsia="黑体"/>
          <w:sz w:val="28"/>
          <w:szCs w:val="28"/>
        </w:rPr>
      </w:pPr>
      <w:r>
        <w:rPr>
          <w:rFonts w:hint="eastAsia" w:ascii="黑体" w:eastAsia="黑体"/>
          <w:sz w:val="28"/>
          <w:szCs w:val="28"/>
        </w:rPr>
        <w:t xml:space="preserve">2  国家标准编制原则、主要内容及其确定依据，修订国家标准时，还包括修订前后技术内容的对比。 </w:t>
      </w:r>
    </w:p>
    <w:p w14:paraId="592AD705">
      <w:pPr>
        <w:pStyle w:val="15"/>
        <w:spacing w:line="360" w:lineRule="auto"/>
        <w:ind w:firstLine="0" w:firstLineChars="0"/>
        <w:rPr>
          <w:rFonts w:hint="eastAsia" w:ascii="黑体" w:eastAsia="黑体"/>
          <w:sz w:val="28"/>
          <w:szCs w:val="28"/>
        </w:rPr>
      </w:pPr>
      <w:r>
        <w:rPr>
          <w:rFonts w:hint="eastAsia" w:ascii="黑体" w:eastAsia="黑体"/>
          <w:sz w:val="28"/>
          <w:szCs w:val="28"/>
        </w:rPr>
        <w:t>2.1 标准的编制原则</w:t>
      </w:r>
    </w:p>
    <w:p w14:paraId="175A2D92">
      <w:pPr>
        <w:pStyle w:val="15"/>
        <w:spacing w:line="360" w:lineRule="auto"/>
        <w:ind w:firstLine="0" w:firstLineChars="0"/>
        <w:rPr>
          <w:rFonts w:ascii="黑体" w:eastAsia="黑体"/>
          <w:sz w:val="28"/>
          <w:szCs w:val="28"/>
        </w:rPr>
      </w:pPr>
      <w:r>
        <w:rPr>
          <w:rFonts w:hint="eastAsia" w:ascii="黑体" w:eastAsia="黑体"/>
          <w:sz w:val="28"/>
          <w:szCs w:val="28"/>
        </w:rPr>
        <w:t>2.1.1规范性</w:t>
      </w:r>
    </w:p>
    <w:p w14:paraId="15BB8E81">
      <w:pPr>
        <w:pStyle w:val="15"/>
        <w:autoSpaceDE w:val="0"/>
        <w:autoSpaceDN w:val="0"/>
        <w:spacing w:line="360" w:lineRule="auto"/>
        <w:ind w:firstLine="480" w:firstLineChars="200"/>
        <w:jc w:val="both"/>
        <w:rPr>
          <w:rFonts w:hint="eastAsia" w:hAnsi="宋体"/>
          <w:sz w:val="24"/>
          <w:lang w:eastAsia="zh-CN"/>
        </w:rPr>
      </w:pPr>
      <w:r>
        <w:rPr>
          <w:rFonts w:ascii="宋体" w:hAnsi="宋体" w:eastAsia="宋体" w:cs="Calibri"/>
          <w:sz w:val="24"/>
          <w:lang w:bidi="ar-SA"/>
        </w:rPr>
        <w:t>本标准的制定严格遵循了GB/T 1.1—2020《标准化工作导则第1部分：标准化文件的结构和起草规则》中所规定的规则和要求进行起草工作。</w:t>
      </w:r>
    </w:p>
    <w:p w14:paraId="67747F37">
      <w:pPr>
        <w:pStyle w:val="15"/>
        <w:spacing w:line="360" w:lineRule="auto"/>
        <w:ind w:firstLine="0" w:firstLineChars="0"/>
        <w:rPr>
          <w:rFonts w:hint="eastAsia" w:ascii="黑体" w:eastAsia="黑体"/>
          <w:sz w:val="28"/>
          <w:szCs w:val="28"/>
        </w:rPr>
      </w:pPr>
      <w:r>
        <w:rPr>
          <w:rFonts w:hint="eastAsia" w:ascii="黑体" w:eastAsia="黑体"/>
          <w:sz w:val="28"/>
          <w:szCs w:val="28"/>
        </w:rPr>
        <w:t>2.1.2 协调性</w:t>
      </w:r>
    </w:p>
    <w:p w14:paraId="13732FC0">
      <w:pPr>
        <w:pStyle w:val="15"/>
        <w:autoSpaceDE w:val="0"/>
        <w:autoSpaceDN w:val="0"/>
        <w:spacing w:line="360" w:lineRule="auto"/>
        <w:ind w:firstLine="480" w:firstLineChars="200"/>
        <w:jc w:val="both"/>
        <w:rPr>
          <w:rFonts w:hint="eastAsia" w:hAnsi="宋体"/>
          <w:sz w:val="24"/>
          <w:lang w:eastAsia="zh-CN"/>
        </w:rPr>
      </w:pPr>
      <w:r>
        <w:rPr>
          <w:rFonts w:ascii="宋体" w:hAnsi="宋体" w:eastAsia="宋体" w:cs="Calibri"/>
          <w:sz w:val="24"/>
          <w:lang w:bidi="ar-SA"/>
        </w:rPr>
        <w:t>在制定标准的过程中，起草的内容必须与当前有效的国际标准、国家标准以及行业标准保持高度的一致性和协调性，确保标准的通用性和适用性。</w:t>
      </w:r>
    </w:p>
    <w:p w14:paraId="76FFEBC9">
      <w:pPr>
        <w:pStyle w:val="15"/>
        <w:spacing w:line="360" w:lineRule="auto"/>
        <w:ind w:firstLine="0" w:firstLineChars="0"/>
        <w:rPr>
          <w:rFonts w:hint="eastAsia" w:ascii="黑体" w:eastAsia="黑体"/>
          <w:sz w:val="28"/>
          <w:szCs w:val="28"/>
        </w:rPr>
      </w:pPr>
      <w:r>
        <w:rPr>
          <w:rFonts w:hint="eastAsia" w:ascii="黑体" w:eastAsia="黑体"/>
          <w:sz w:val="28"/>
          <w:szCs w:val="28"/>
        </w:rPr>
        <w:t>2.1.3 先进性</w:t>
      </w:r>
    </w:p>
    <w:p w14:paraId="085B6B73">
      <w:pPr>
        <w:pStyle w:val="15"/>
        <w:autoSpaceDE w:val="0"/>
        <w:autoSpaceDN w:val="0"/>
        <w:spacing w:line="360" w:lineRule="auto"/>
        <w:ind w:firstLine="480" w:firstLineChars="200"/>
        <w:jc w:val="both"/>
        <w:rPr>
          <w:rFonts w:hint="eastAsia"/>
          <w:sz w:val="24"/>
          <w:szCs w:val="24"/>
          <w:lang w:eastAsia="zh-CN"/>
        </w:rPr>
      </w:pPr>
      <w:r>
        <w:rPr>
          <w:rFonts w:ascii="宋体" w:hAnsi="Calibri" w:eastAsia="宋体" w:cs="Calibri"/>
          <w:sz w:val="24"/>
          <w:szCs w:val="24"/>
          <w:lang w:bidi="ar-SA"/>
        </w:rPr>
        <w:t>本标准的制定，是基于对</w:t>
      </w:r>
      <w:r>
        <w:rPr>
          <w:rFonts w:hint="eastAsia" w:cs="Calibri"/>
          <w:sz w:val="24"/>
          <w:szCs w:val="24"/>
          <w:lang w:val="en-US" w:eastAsia="zh-CN" w:bidi="ar-SA"/>
        </w:rPr>
        <w:t>家用儿童学习桌、椅</w:t>
      </w:r>
      <w:r>
        <w:rPr>
          <w:rFonts w:ascii="宋体" w:hAnsi="Calibri" w:eastAsia="宋体" w:cs="Calibri"/>
          <w:sz w:val="24"/>
          <w:szCs w:val="24"/>
          <w:lang w:bidi="ar-SA"/>
        </w:rPr>
        <w:t>发展现状的研究，以及对相关规范引用标准的最新修订情况的全面考量。在此基础上，我们详细规定了</w:t>
      </w:r>
      <w:r>
        <w:rPr>
          <w:rFonts w:hint="eastAsia" w:ascii="宋体" w:hAnsi="Calibri" w:eastAsia="宋体" w:cs="Calibri"/>
          <w:sz w:val="24"/>
          <w:szCs w:val="24"/>
          <w:lang w:val="en-US" w:eastAsia="zh-CN" w:bidi="ar-SA"/>
        </w:rPr>
        <w:t>家用儿童学习桌、椅</w:t>
      </w:r>
      <w:r>
        <w:rPr>
          <w:rFonts w:ascii="宋体" w:hAnsi="Calibri" w:eastAsia="宋体" w:cs="Calibri"/>
          <w:sz w:val="24"/>
          <w:szCs w:val="24"/>
          <w:lang w:bidi="ar-SA"/>
        </w:rPr>
        <w:t>的</w:t>
      </w:r>
      <w:r>
        <w:rPr>
          <w:rFonts w:ascii="宋体" w:hAnsi="Calibri" w:eastAsia="宋体" w:cs="Calibri"/>
          <w:sz w:val="24"/>
          <w:szCs w:val="24"/>
          <w:highlight w:val="none"/>
          <w:lang w:bidi="ar-SA"/>
        </w:rPr>
        <w:t>外观性能、理化性能、力学性能、安全性能等关键指标，并</w:t>
      </w:r>
      <w:r>
        <w:rPr>
          <w:rFonts w:ascii="宋体" w:hAnsi="Calibri" w:eastAsia="宋体" w:cs="Calibri"/>
          <w:sz w:val="24"/>
          <w:szCs w:val="24"/>
          <w:lang w:bidi="ar-SA"/>
        </w:rPr>
        <w:t>且制定了相应的试验方法。这些要求和方法的制定，旨在确保标准的指标要求与当前技术发展的适配性，同时提供适当的引领性，以推动整个行业的技术进步。此外，我们还确保了指标验证方法的科学性，以及在实际操作中的可操作性，从而为</w:t>
      </w:r>
      <w:r>
        <w:rPr>
          <w:rFonts w:hint="eastAsia" w:ascii="宋体" w:hAnsi="Calibri" w:eastAsia="宋体" w:cs="Calibri"/>
          <w:sz w:val="24"/>
          <w:szCs w:val="24"/>
          <w:lang w:val="en-US" w:eastAsia="zh-CN" w:bidi="ar-SA"/>
        </w:rPr>
        <w:t>家用儿童学习桌、椅</w:t>
      </w:r>
      <w:r>
        <w:rPr>
          <w:rFonts w:ascii="宋体" w:hAnsi="Calibri" w:eastAsia="宋体" w:cs="Calibri"/>
          <w:sz w:val="24"/>
          <w:szCs w:val="24"/>
          <w:lang w:bidi="ar-SA"/>
        </w:rPr>
        <w:t>的质量控制提供了可靠的技术支持。</w:t>
      </w:r>
    </w:p>
    <w:p w14:paraId="6DCD92AD">
      <w:pPr>
        <w:pStyle w:val="15"/>
        <w:spacing w:line="360" w:lineRule="auto"/>
        <w:ind w:firstLine="0" w:firstLineChars="0"/>
        <w:rPr>
          <w:rFonts w:hint="eastAsia" w:ascii="黑体" w:eastAsia="黑体"/>
          <w:sz w:val="28"/>
          <w:szCs w:val="28"/>
          <w:highlight w:val="none"/>
        </w:rPr>
      </w:pPr>
      <w:r>
        <w:rPr>
          <w:rFonts w:hint="eastAsia" w:ascii="黑体" w:eastAsia="黑体"/>
          <w:sz w:val="28"/>
          <w:szCs w:val="28"/>
        </w:rPr>
        <w:t xml:space="preserve">2.2  主要内容及其确定依据 </w:t>
      </w:r>
    </w:p>
    <w:p w14:paraId="78402FC5">
      <w:pPr>
        <w:pStyle w:val="15"/>
        <w:spacing w:line="360" w:lineRule="auto"/>
        <w:ind w:firstLine="480"/>
        <w:rPr>
          <w:rFonts w:hint="eastAsia"/>
          <w:sz w:val="24"/>
          <w:szCs w:val="24"/>
          <w:highlight w:val="none"/>
          <w:lang w:val="en-US"/>
        </w:rPr>
      </w:pPr>
      <w:r>
        <w:rPr>
          <w:rFonts w:hint="eastAsia"/>
          <w:sz w:val="24"/>
          <w:szCs w:val="24"/>
          <w:highlight w:val="none"/>
          <w:lang w:val="en-US" w:eastAsia="zh-CN"/>
        </w:rPr>
        <w:t>本标准规定了家用儿童学习桌、椅的要求、检验规则，描述了相应的试验方法，界定了相关的术语和定义。</w:t>
      </w:r>
    </w:p>
    <w:p w14:paraId="469E79B5">
      <w:pPr>
        <w:pStyle w:val="15"/>
        <w:spacing w:line="360" w:lineRule="auto"/>
        <w:ind w:firstLine="480"/>
        <w:rPr>
          <w:rFonts w:hint="eastAsia"/>
          <w:sz w:val="24"/>
          <w:szCs w:val="24"/>
        </w:rPr>
      </w:pPr>
      <w:r>
        <w:rPr>
          <w:rFonts w:hint="eastAsia"/>
          <w:sz w:val="24"/>
          <w:szCs w:val="24"/>
          <w:lang w:val="en-US" w:eastAsia="zh-CN"/>
        </w:rPr>
        <w:t>本文件适用于家用的儿童学习桌和儿童学习椅。</w:t>
      </w:r>
      <w:r>
        <w:rPr>
          <w:rFonts w:hint="eastAsia"/>
          <w:sz w:val="24"/>
          <w:szCs w:val="24"/>
        </w:rPr>
        <w:t>主要内容及其确定的依据如下：</w:t>
      </w:r>
    </w:p>
    <w:p w14:paraId="0B15A078">
      <w:pPr>
        <w:spacing w:line="440" w:lineRule="exact"/>
        <w:rPr>
          <w:rFonts w:hint="eastAsia" w:ascii="黑体" w:hAnsi="宋体" w:eastAsia="黑体"/>
          <w:color w:val="000000"/>
          <w:sz w:val="24"/>
        </w:rPr>
      </w:pPr>
      <w:r>
        <w:rPr>
          <w:rFonts w:hint="eastAsia" w:ascii="黑体" w:hAnsi="宋体" w:eastAsia="黑体"/>
          <w:color w:val="000000"/>
          <w:sz w:val="24"/>
        </w:rPr>
        <w:t>2.2.1 术语和定义</w:t>
      </w:r>
    </w:p>
    <w:p w14:paraId="31A3E14F">
      <w:pPr>
        <w:pStyle w:val="15"/>
        <w:spacing w:line="360" w:lineRule="auto"/>
        <w:ind w:firstLine="480"/>
        <w:rPr>
          <w:rFonts w:hint="eastAsia"/>
          <w:sz w:val="24"/>
          <w:lang w:val="en-US" w:eastAsia="zh-CN"/>
        </w:rPr>
      </w:pPr>
      <w:r>
        <w:rPr>
          <w:rFonts w:hint="eastAsia"/>
          <w:sz w:val="24"/>
          <w:lang w:val="en-US" w:eastAsia="zh-CN"/>
        </w:rPr>
        <w:t>根据GB 28007—2024《婴幼儿及儿童家具安全技术规范》中对儿童家具的定义“供3岁～14岁儿童使用的家具”，本标准中所指的儿童学习桌定义为：设计或预定供3周岁～14周岁儿童阅读、写字、绘画等活动时使用的桌子。同理，儿童学习椅定义为：设计或预定供3周岁～14周岁儿童阅读、写字、绘画等活动时使用的坐具。</w:t>
      </w:r>
    </w:p>
    <w:p w14:paraId="72EB90F5">
      <w:pPr>
        <w:spacing w:line="440" w:lineRule="exact"/>
        <w:rPr>
          <w:rFonts w:hint="eastAsia" w:ascii="黑体" w:hAnsi="宋体" w:eastAsia="黑体"/>
          <w:color w:val="000000"/>
          <w:sz w:val="24"/>
          <w:lang w:eastAsia="zh-CN"/>
        </w:rPr>
      </w:pPr>
      <w:r>
        <w:rPr>
          <w:rFonts w:hint="eastAsia" w:ascii="黑体" w:hAnsi="宋体" w:eastAsia="黑体"/>
          <w:color w:val="000000"/>
          <w:sz w:val="24"/>
        </w:rPr>
        <w:t>2.2.</w:t>
      </w:r>
      <w:r>
        <w:rPr>
          <w:rFonts w:hint="eastAsia" w:ascii="黑体" w:hAnsi="宋体" w:eastAsia="黑体"/>
          <w:color w:val="000000"/>
          <w:sz w:val="24"/>
          <w:lang w:val="en-US" w:eastAsia="zh-CN"/>
        </w:rPr>
        <w:t>3</w:t>
      </w:r>
      <w:r>
        <w:rPr>
          <w:rFonts w:hint="eastAsia" w:ascii="黑体" w:hAnsi="宋体" w:eastAsia="黑体"/>
          <w:color w:val="000000"/>
          <w:sz w:val="24"/>
        </w:rPr>
        <w:t xml:space="preserve"> </w:t>
      </w:r>
      <w:r>
        <w:rPr>
          <w:rFonts w:hint="eastAsia" w:ascii="黑体" w:hAnsi="宋体" w:eastAsia="黑体"/>
          <w:color w:val="000000"/>
          <w:sz w:val="24"/>
          <w:lang w:eastAsia="zh-CN"/>
        </w:rPr>
        <w:t>要求</w:t>
      </w:r>
    </w:p>
    <w:p w14:paraId="3E4C7912">
      <w:pPr>
        <w:spacing w:line="440" w:lineRule="exact"/>
        <w:rPr>
          <w:rFonts w:hint="eastAsia" w:ascii="黑体" w:hAnsi="宋体" w:eastAsia="黑体"/>
          <w:color w:val="000000"/>
          <w:sz w:val="24"/>
          <w:lang w:eastAsia="zh-CN"/>
        </w:rPr>
      </w:pPr>
      <w:r>
        <w:rPr>
          <w:rFonts w:hint="eastAsia" w:ascii="黑体" w:hAnsi="宋体" w:eastAsia="黑体"/>
          <w:color w:val="000000"/>
          <w:sz w:val="24"/>
        </w:rPr>
        <w:t>2.2.</w:t>
      </w:r>
      <w:r>
        <w:rPr>
          <w:rFonts w:hint="eastAsia" w:ascii="黑体" w:hAnsi="宋体" w:eastAsia="黑体"/>
          <w:color w:val="000000"/>
          <w:sz w:val="24"/>
          <w:lang w:val="en-US" w:eastAsia="zh-CN"/>
        </w:rPr>
        <w:t>3</w:t>
      </w:r>
      <w:r>
        <w:rPr>
          <w:rFonts w:hint="default" w:ascii="黑体" w:hAnsi="宋体" w:eastAsia="黑体"/>
          <w:color w:val="000000"/>
          <w:sz w:val="24"/>
          <w:lang w:val="en-US" w:eastAsia="zh-CN"/>
        </w:rPr>
        <w:t>.1</w:t>
      </w:r>
      <w:r>
        <w:rPr>
          <w:rFonts w:hint="eastAsia" w:ascii="黑体" w:hAnsi="宋体" w:eastAsia="黑体"/>
          <w:color w:val="000000"/>
          <w:sz w:val="24"/>
        </w:rPr>
        <w:t xml:space="preserve"> </w:t>
      </w:r>
      <w:r>
        <w:rPr>
          <w:rFonts w:hint="eastAsia" w:ascii="黑体" w:hAnsi="宋体" w:eastAsia="黑体"/>
          <w:color w:val="000000"/>
          <w:sz w:val="24"/>
          <w:lang w:eastAsia="zh-CN"/>
        </w:rPr>
        <w:t>尺寸要求</w:t>
      </w:r>
    </w:p>
    <w:p w14:paraId="7E3D415D">
      <w:pPr>
        <w:pStyle w:val="15"/>
        <w:autoSpaceDE w:val="0"/>
        <w:autoSpaceDN w:val="0"/>
        <w:spacing w:line="360" w:lineRule="auto"/>
        <w:ind w:firstLine="480" w:firstLineChars="200"/>
        <w:jc w:val="both"/>
        <w:rPr>
          <w:rFonts w:hint="eastAsia"/>
          <w:sz w:val="24"/>
          <w:lang w:val="en-US" w:eastAsia="zh-CN"/>
        </w:rPr>
      </w:pPr>
      <w:r>
        <w:rPr>
          <w:rFonts w:hint="eastAsia"/>
          <w:sz w:val="24"/>
          <w:lang w:val="en-US" w:eastAsia="zh-CN"/>
        </w:rPr>
        <w:t>儿童学习桌椅的尺寸要求与GB/T 43002—2023《儿童家具 质量检验及质量判定》保持一致，对学习桌的中间净空宽、桌面高、中间净空高于椅凳座面配合；儿童学习椅的扶手椅扶手内宽进行了要求。对于目前常见的</w:t>
      </w:r>
      <w:r>
        <w:rPr>
          <w:rFonts w:hint="eastAsia" w:cs="Calibri"/>
          <w:sz w:val="24"/>
          <w:lang w:val="en-US" w:eastAsia="zh-CN" w:bidi="ar-SA"/>
        </w:rPr>
        <w:t>可倾斜桌面的学习桌的设计</w:t>
      </w:r>
      <w:r>
        <w:rPr>
          <w:rFonts w:hint="eastAsia"/>
          <w:sz w:val="24"/>
          <w:lang w:val="en-US" w:eastAsia="zh-CN"/>
        </w:rPr>
        <w:t>，</w:t>
      </w:r>
      <w:r>
        <w:rPr>
          <w:rFonts w:hint="eastAsia" w:cs="Calibri"/>
          <w:sz w:val="24"/>
          <w:lang w:val="en-US" w:eastAsia="zh-CN" w:bidi="ar-SA"/>
        </w:rPr>
        <w:t>其最大倾斜角度：</w:t>
      </w:r>
      <w:r>
        <w:rPr>
          <w:rFonts w:hint="default" w:cs="Calibri"/>
          <w:sz w:val="24"/>
          <w:lang w:val="en-US" w:eastAsia="zh-CN" w:bidi="ar-SA"/>
        </w:rPr>
        <w:t>桌面合适的倾斜角度会使使用者更加舒适。研究表明，12°桌面倾角有助于健康视距的形成，30°的桌面倾角对健康坐行为的形成存在积极的影响。书写倾角为12°时能放松手腕肩膀，使脊椎向后自然伸直。《健康家居的人类工效学要求第4部分：儿童桌椅》（GB/T39223.4-2020)要求桌面倾角的调节范围不应小于24°，同时调节结构应当足够稳定，选择角度后能够安全锁定不会下沉，防止桌面夹手。</w:t>
      </w:r>
    </w:p>
    <w:p w14:paraId="2A8BA9AB">
      <w:pPr>
        <w:spacing w:line="440" w:lineRule="exact"/>
        <w:rPr>
          <w:rFonts w:hint="eastAsia" w:ascii="黑体" w:hAnsi="宋体" w:eastAsia="黑体"/>
          <w:color w:val="000000"/>
          <w:sz w:val="24"/>
          <w:lang w:val="en-US" w:eastAsia="zh-CN"/>
        </w:rPr>
      </w:pPr>
      <w:r>
        <w:rPr>
          <w:rFonts w:hint="eastAsia" w:ascii="黑体" w:hAnsi="宋体" w:eastAsia="黑体"/>
          <w:color w:val="000000"/>
          <w:sz w:val="24"/>
          <w:lang w:val="en-US" w:eastAsia="zh-CN"/>
        </w:rPr>
        <w:t>2.2.3.2 形状和位置公差</w:t>
      </w:r>
    </w:p>
    <w:p w14:paraId="7796553A">
      <w:pPr>
        <w:pStyle w:val="15"/>
        <w:spacing w:line="360" w:lineRule="auto"/>
        <w:ind w:firstLine="480"/>
        <w:rPr>
          <w:rFonts w:hint="default" w:ascii="宋体" w:hAnsi="Calibri" w:eastAsia="宋体" w:cs="Calibri"/>
          <w:sz w:val="24"/>
          <w:lang w:val="en-US" w:eastAsia="zh-CN" w:bidi="ar-SA"/>
        </w:rPr>
      </w:pPr>
      <w:r>
        <w:rPr>
          <w:rFonts w:hint="eastAsia" w:ascii="宋体" w:hAnsi="Calibri" w:eastAsia="宋体" w:cs="Calibri"/>
          <w:sz w:val="24"/>
          <w:lang w:val="en-US" w:eastAsia="zh-CN" w:bidi="ar-SA"/>
        </w:rPr>
        <w:t>学习桌的位置公差可以采用GB/T 3325—2024的要求，学习椅的形状和位置公差</w:t>
      </w:r>
      <w:r>
        <w:rPr>
          <w:rFonts w:hint="eastAsia" w:cs="Calibri"/>
          <w:sz w:val="24"/>
          <w:lang w:val="en-US" w:eastAsia="zh-CN" w:bidi="ar-SA"/>
        </w:rPr>
        <w:t>类似于</w:t>
      </w:r>
      <w:r>
        <w:rPr>
          <w:rFonts w:hint="eastAsia" w:ascii="宋体" w:hAnsi="Calibri" w:eastAsia="宋体" w:cs="Calibri"/>
          <w:sz w:val="24"/>
          <w:lang w:val="en-US" w:eastAsia="zh-CN" w:bidi="ar-SA"/>
        </w:rPr>
        <w:t>办公椅标准的要求，规定了外形对称度好座面左右水平偏差。</w:t>
      </w:r>
    </w:p>
    <w:p w14:paraId="460FC31E">
      <w:pPr>
        <w:spacing w:line="440" w:lineRule="exact"/>
        <w:rPr>
          <w:rFonts w:hint="eastAsia" w:ascii="黑体" w:hAnsi="宋体" w:eastAsia="黑体"/>
          <w:color w:val="000000"/>
          <w:sz w:val="24"/>
          <w:lang w:val="en-US" w:eastAsia="zh-CN"/>
        </w:rPr>
      </w:pPr>
      <w:r>
        <w:rPr>
          <w:rFonts w:hint="eastAsia" w:ascii="黑体" w:hAnsi="宋体" w:eastAsia="黑体"/>
          <w:color w:val="000000"/>
          <w:sz w:val="24"/>
          <w:lang w:val="en-US" w:eastAsia="zh-CN"/>
        </w:rPr>
        <w:t>2.2.3.3.外观要求</w:t>
      </w:r>
    </w:p>
    <w:p w14:paraId="6FE63402">
      <w:pPr>
        <w:pStyle w:val="15"/>
        <w:spacing w:line="360" w:lineRule="auto"/>
        <w:ind w:firstLine="480"/>
        <w:rPr>
          <w:rFonts w:hint="eastAsia" w:ascii="宋体" w:hAnsi="Calibri" w:eastAsia="宋体" w:cs="Calibri"/>
          <w:sz w:val="24"/>
          <w:lang w:val="en-US" w:eastAsia="zh-CN" w:bidi="ar-SA"/>
        </w:rPr>
      </w:pPr>
      <w:r>
        <w:rPr>
          <w:rFonts w:hint="eastAsia" w:ascii="宋体" w:hAnsi="Calibri" w:eastAsia="宋体" w:cs="Calibri"/>
          <w:sz w:val="24"/>
          <w:lang w:val="en-US" w:eastAsia="zh-CN" w:bidi="ar-SA"/>
        </w:rPr>
        <w:t>儿童学习桌椅的常见材质有木制和金属材质，对于家具产品的外观要求，在GB/T 3324和GB/T 3325中均有较为全面的规定，经过比对，可采用GB/T 3325—2024中外观要求的规定。</w:t>
      </w:r>
    </w:p>
    <w:p w14:paraId="71CA7A08">
      <w:pPr>
        <w:spacing w:line="440" w:lineRule="exact"/>
        <w:rPr>
          <w:rFonts w:hint="eastAsia" w:ascii="黑体" w:hAnsi="宋体" w:eastAsia="黑体"/>
          <w:color w:val="000000"/>
          <w:sz w:val="24"/>
          <w:lang w:val="en-US" w:eastAsia="zh-CN"/>
        </w:rPr>
      </w:pPr>
      <w:r>
        <w:rPr>
          <w:rFonts w:hint="eastAsia" w:ascii="黑体" w:hAnsi="宋体" w:eastAsia="黑体"/>
          <w:color w:val="000000"/>
          <w:sz w:val="24"/>
          <w:lang w:val="en-US" w:eastAsia="zh-CN"/>
        </w:rPr>
        <w:t>2.2.3.4 表面理化性能</w:t>
      </w:r>
    </w:p>
    <w:p w14:paraId="6B135459">
      <w:pPr>
        <w:pStyle w:val="15"/>
        <w:spacing w:line="360" w:lineRule="auto"/>
        <w:ind w:firstLine="480"/>
        <w:rPr>
          <w:rFonts w:hint="eastAsia" w:cs="Calibri"/>
          <w:sz w:val="24"/>
          <w:lang w:val="en-US" w:eastAsia="zh-CN" w:bidi="ar-SA"/>
        </w:rPr>
      </w:pPr>
      <w:r>
        <w:rPr>
          <w:rFonts w:hint="eastAsia" w:ascii="宋体" w:hAnsi="Calibri" w:eastAsia="宋体" w:cs="Calibri"/>
          <w:sz w:val="24"/>
          <w:lang w:val="en-US" w:eastAsia="zh-CN" w:bidi="ar-SA"/>
        </w:rPr>
        <w:t>儿童学习用桌</w:t>
      </w:r>
      <w:r>
        <w:rPr>
          <w:rFonts w:hint="eastAsia" w:cs="Calibri"/>
          <w:sz w:val="24"/>
          <w:lang w:val="en-US" w:eastAsia="zh-CN" w:bidi="ar-SA"/>
        </w:rPr>
        <w:t>、椅的材质常见有木制、金属和塑料，在学习椅的座面也会有软包件，用纺织品或皮革作为包覆材料，填充软质聚氨酯泡沫塑料，这些常见的材料</w:t>
      </w:r>
      <w:r>
        <w:rPr>
          <w:rFonts w:hint="eastAsia" w:ascii="宋体" w:hAnsi="Calibri" w:eastAsia="宋体" w:cs="Calibri"/>
          <w:sz w:val="24"/>
          <w:lang w:val="en-US" w:eastAsia="zh-CN" w:bidi="ar-SA"/>
        </w:rPr>
        <w:t>的表面理化性能</w:t>
      </w:r>
      <w:r>
        <w:rPr>
          <w:rFonts w:hint="eastAsia" w:cs="Calibri"/>
          <w:sz w:val="24"/>
          <w:lang w:val="en-US" w:eastAsia="zh-CN" w:bidi="ar-SA"/>
        </w:rPr>
        <w:t>在家具产品中均有相应要求和对应的试验方法，与木家具、</w:t>
      </w:r>
      <w:r>
        <w:rPr>
          <w:rFonts w:hint="eastAsia" w:ascii="宋体" w:hAnsi="Calibri" w:eastAsia="宋体" w:cs="Calibri"/>
          <w:sz w:val="24"/>
          <w:lang w:val="en-US" w:eastAsia="zh-CN" w:bidi="ar-SA"/>
        </w:rPr>
        <w:t>金属家具通用技术要求</w:t>
      </w:r>
      <w:r>
        <w:rPr>
          <w:rFonts w:hint="eastAsia" w:cs="Calibri"/>
          <w:sz w:val="24"/>
          <w:lang w:val="en-US" w:eastAsia="zh-CN" w:bidi="ar-SA"/>
        </w:rPr>
        <w:t>这2项通用标准的要求保持协调一致。对于塑料桌椅面的耐污染性能，</w:t>
      </w:r>
      <w:r>
        <w:rPr>
          <w:rFonts w:hint="eastAsia" w:ascii="宋体" w:hAnsi="Calibri" w:eastAsia="宋体" w:cs="Calibri"/>
          <w:sz w:val="24"/>
          <w:lang w:val="en-US" w:eastAsia="zh-CN" w:bidi="ar-SA"/>
        </w:rPr>
        <w:t>参考</w:t>
      </w:r>
      <w:r>
        <w:rPr>
          <w:rFonts w:hint="eastAsia" w:cs="Calibri"/>
          <w:sz w:val="24"/>
          <w:lang w:val="en-US" w:eastAsia="zh-CN" w:bidi="ar-SA"/>
        </w:rPr>
        <w:t>了《中小学生午休课桌椅通用技术要求》和QB/T 4071-2021《课桌椅》</w:t>
      </w:r>
      <w:r>
        <w:rPr>
          <w:rFonts w:hint="eastAsia" w:ascii="宋体" w:hAnsi="Calibri" w:eastAsia="宋体" w:cs="Calibri"/>
          <w:sz w:val="24"/>
          <w:lang w:val="en-US" w:eastAsia="zh-CN" w:bidi="ar-SA"/>
        </w:rPr>
        <w:t>的理化性能要求，</w:t>
      </w:r>
      <w:r>
        <w:rPr>
          <w:rFonts w:hint="eastAsia" w:cs="Calibri"/>
          <w:sz w:val="24"/>
          <w:lang w:val="en-US" w:eastAsia="zh-CN" w:bidi="ar-SA"/>
        </w:rPr>
        <w:t>儿童学习椅坐垫除了硬质设计，也常见软质聚氨酯泡沫塑料填充，因此也加入了软质聚氨酯泡沫塑料的75%压缩永久变形要求。</w:t>
      </w:r>
    </w:p>
    <w:p w14:paraId="528F1EC3">
      <w:pPr>
        <w:pStyle w:val="15"/>
        <w:spacing w:line="360" w:lineRule="auto"/>
        <w:ind w:firstLine="480"/>
        <w:rPr>
          <w:rFonts w:hint="default" w:cs="Calibri"/>
          <w:sz w:val="24"/>
          <w:lang w:val="en-US" w:eastAsia="zh-CN" w:bidi="ar-SA"/>
        </w:rPr>
      </w:pPr>
      <w:r>
        <w:rPr>
          <w:rFonts w:hint="eastAsia" w:cs="Calibri"/>
          <w:sz w:val="24"/>
          <w:lang w:val="en-US" w:eastAsia="zh-CN" w:bidi="ar-SA"/>
        </w:rPr>
        <w:t>与GB/T 43002—2023中对于儿童家具的理化性能要求相比，木制件表面涂层的抗冲击要求有所调整，是综合目前家具漆膜涂层的情况，本标准与通用基础标准保持一致，为4级或优于4级。耐磨性采用了新修订的GB/T 4893.8—2023，增加了耐黄变的要求；木制件表面装饰层减少了耐液性要求，增加了耐光色牢度的亚欧，修改了耐磨性要求；金属件相关 性能中增加了新形态的比如电镀层、喷漆（塑）层、转印薄膜层等的要求；纺织面料的pH为GB/T 18401—2010中A类的要求，与GB/T 3324保持一致。</w:t>
      </w:r>
    </w:p>
    <w:p w14:paraId="39E91C8D">
      <w:pPr>
        <w:spacing w:line="440" w:lineRule="exact"/>
        <w:rPr>
          <w:rFonts w:hint="eastAsia" w:ascii="黑体" w:hAnsi="宋体" w:eastAsia="黑体"/>
          <w:color w:val="000000"/>
          <w:sz w:val="24"/>
          <w:lang w:val="en-US" w:eastAsia="zh-CN"/>
        </w:rPr>
      </w:pPr>
      <w:r>
        <w:rPr>
          <w:rFonts w:hint="eastAsia" w:ascii="黑体" w:hAnsi="宋体" w:eastAsia="黑体"/>
          <w:color w:val="000000"/>
          <w:sz w:val="24"/>
          <w:lang w:val="en-US" w:eastAsia="zh-CN"/>
        </w:rPr>
        <w:t>2.2.3.5 安全要求</w:t>
      </w:r>
    </w:p>
    <w:p w14:paraId="1DFDB065">
      <w:pPr>
        <w:pStyle w:val="15"/>
        <w:spacing w:line="360" w:lineRule="auto"/>
        <w:ind w:firstLine="480"/>
        <w:rPr>
          <w:rFonts w:hint="eastAsia" w:cs="Calibri"/>
          <w:sz w:val="24"/>
          <w:lang w:val="en-US" w:eastAsia="zh-CN" w:bidi="ar-SA"/>
        </w:rPr>
      </w:pPr>
      <w:r>
        <w:rPr>
          <w:rFonts w:hint="eastAsia" w:ascii="宋体" w:hAnsi="Calibri" w:eastAsia="宋体" w:cs="Calibri"/>
          <w:sz w:val="24"/>
          <w:lang w:val="en-US" w:eastAsia="zh-CN" w:bidi="ar-SA"/>
        </w:rPr>
        <w:t>作为儿童家具，</w:t>
      </w:r>
      <w:r>
        <w:rPr>
          <w:rFonts w:hint="eastAsia" w:cs="Calibri"/>
          <w:sz w:val="24"/>
          <w:lang w:val="en-US" w:eastAsia="zh-CN" w:bidi="ar-SA"/>
        </w:rPr>
        <w:t>结构安全方面</w:t>
      </w:r>
      <w:r>
        <w:rPr>
          <w:rFonts w:hint="eastAsia" w:ascii="宋体" w:hAnsi="Calibri" w:eastAsia="宋体" w:cs="Calibri"/>
          <w:sz w:val="24"/>
          <w:lang w:val="en-US" w:eastAsia="zh-CN" w:bidi="ar-SA"/>
        </w:rPr>
        <w:t>应该要符合强制性国家标准的要求</w:t>
      </w:r>
      <w:r>
        <w:rPr>
          <w:rFonts w:hint="eastAsia" w:cs="Calibri"/>
          <w:sz w:val="24"/>
          <w:lang w:val="en-US" w:eastAsia="zh-CN" w:bidi="ar-SA"/>
        </w:rPr>
        <w:t>（GB 28007—2024中4.2的规定）。有害物质限量应符合GB 18584—2024《家具中有害物质限量》的规定。阻燃性能应符合GB 17927中阻燃</w:t>
      </w:r>
      <w:r>
        <w:rPr>
          <w:rFonts w:hint="eastAsia" w:ascii="宋体" w:hAnsi="宋体" w:eastAsia="宋体" w:cs="宋体"/>
          <w:sz w:val="24"/>
          <w:lang w:val="en-US" w:eastAsia="zh-CN" w:bidi="ar-SA"/>
        </w:rPr>
        <w:t>Ⅰ</w:t>
      </w:r>
      <w:r>
        <w:rPr>
          <w:rFonts w:hint="eastAsia" w:cs="Calibri"/>
          <w:sz w:val="24"/>
          <w:lang w:val="en-US" w:eastAsia="zh-CN" w:bidi="ar-SA"/>
        </w:rPr>
        <w:t>级的规定。</w:t>
      </w:r>
    </w:p>
    <w:p w14:paraId="072D3A2E">
      <w:pPr>
        <w:pStyle w:val="15"/>
        <w:spacing w:line="360" w:lineRule="auto"/>
        <w:ind w:firstLine="480"/>
        <w:rPr>
          <w:rFonts w:hint="eastAsia" w:cs="Calibri"/>
          <w:sz w:val="24"/>
          <w:lang w:val="en-US" w:eastAsia="zh-CN" w:bidi="ar-SA"/>
        </w:rPr>
      </w:pPr>
      <w:r>
        <w:rPr>
          <w:rFonts w:hint="eastAsia" w:cs="Calibri"/>
          <w:sz w:val="24"/>
          <w:lang w:val="en-US" w:eastAsia="zh-CN" w:bidi="ar-SA"/>
        </w:rPr>
        <w:t>儿童学习椅如果含有气弹簧升降设计，气弹簧应具有保护措施，学习椅座位底面与气弹簧之间应有能覆盖气弹簧立筒在底座上最大投影面积的隔离措施，如用厚度不小于2 mm的钢板隔离，或采用底盘隔离。</w:t>
      </w:r>
    </w:p>
    <w:p w14:paraId="0C00762F">
      <w:pPr>
        <w:pStyle w:val="15"/>
        <w:spacing w:line="360" w:lineRule="auto"/>
        <w:ind w:firstLine="480"/>
        <w:rPr>
          <w:rFonts w:hint="eastAsia" w:cs="Calibri"/>
          <w:sz w:val="24"/>
          <w:lang w:val="en-US" w:eastAsia="zh-CN" w:bidi="ar-SA"/>
        </w:rPr>
      </w:pPr>
      <w:r>
        <w:rPr>
          <w:rFonts w:hint="eastAsia" w:cs="Calibri"/>
          <w:sz w:val="24"/>
          <w:lang w:val="en-US" w:eastAsia="zh-CN" w:bidi="ar-SA"/>
        </w:rPr>
        <w:t>学习桌也常见的具有带电功能，如电动升降、照明、语音提示等等功能，因此提出了电磁兼容、电气保护的要求。对于电动升降的产品，存在最大连续运转时间的工作制保护，本标准规定产品应能连续运转至其宣称的最大连续运转时间。</w:t>
      </w:r>
    </w:p>
    <w:p w14:paraId="066F1FFA">
      <w:pPr>
        <w:pStyle w:val="15"/>
        <w:spacing w:line="360" w:lineRule="auto"/>
        <w:ind w:firstLine="480"/>
        <w:rPr>
          <w:rFonts w:hint="eastAsia" w:cs="Calibri"/>
          <w:sz w:val="24"/>
          <w:lang w:val="en-US" w:eastAsia="zh-CN" w:bidi="ar-SA"/>
        </w:rPr>
      </w:pPr>
      <w:r>
        <w:rPr>
          <w:rFonts w:hint="eastAsia" w:cs="Calibri"/>
          <w:sz w:val="24"/>
          <w:lang w:val="en-US" w:eastAsia="zh-CN" w:bidi="ar-SA"/>
        </w:rPr>
        <w:t>强标GB 28007中规定了升降装置不能使用声控升降装置，且具有电控升降装置的产品，应至少有2个不同的操作步骤开启升降运动（如童锁、组合按键等），对于目前上学习桌有很多类似电动升降桌的设计，因此考虑了对其遇阻保护的功能进行要求，参考了QB/T 5271电动升降桌行业标准中遇阻回退和松手即停的要求。</w:t>
      </w:r>
    </w:p>
    <w:p w14:paraId="136CF57D">
      <w:pPr>
        <w:spacing w:line="440" w:lineRule="exact"/>
        <w:rPr>
          <w:rFonts w:hint="eastAsia" w:ascii="黑体" w:hAnsi="宋体" w:eastAsia="黑体"/>
          <w:color w:val="000000"/>
          <w:sz w:val="24"/>
          <w:lang w:val="en-US" w:eastAsia="zh-CN"/>
        </w:rPr>
      </w:pPr>
      <w:r>
        <w:rPr>
          <w:rFonts w:hint="eastAsia" w:ascii="黑体" w:hAnsi="宋体" w:eastAsia="黑体"/>
          <w:color w:val="000000"/>
          <w:sz w:val="24"/>
          <w:lang w:val="en-US" w:eastAsia="zh-CN"/>
        </w:rPr>
        <w:t>2.2.3.6 噪声</w:t>
      </w:r>
    </w:p>
    <w:p w14:paraId="5E531EDE">
      <w:pPr>
        <w:pStyle w:val="15"/>
        <w:spacing w:line="360" w:lineRule="auto"/>
        <w:ind w:firstLine="480"/>
        <w:rPr>
          <w:rFonts w:hint="default" w:cs="Calibri"/>
          <w:sz w:val="24"/>
          <w:lang w:val="en-US" w:eastAsia="zh-CN" w:bidi="ar-SA"/>
        </w:rPr>
      </w:pPr>
      <w:r>
        <w:rPr>
          <w:rFonts w:hint="eastAsia" w:cs="Calibri"/>
          <w:sz w:val="24"/>
          <w:lang w:val="en-US" w:eastAsia="zh-CN" w:bidi="ar-SA"/>
        </w:rPr>
        <w:t>对于带电产品的噪声，采用了GB/T 43814-2024《智能家具通用技术要求》中对于噪声的要求。</w:t>
      </w:r>
    </w:p>
    <w:p w14:paraId="010DADE2">
      <w:pPr>
        <w:spacing w:line="440" w:lineRule="exact"/>
        <w:rPr>
          <w:rFonts w:hint="default" w:ascii="黑体" w:hAnsi="宋体" w:eastAsia="黑体"/>
          <w:color w:val="000000"/>
          <w:sz w:val="24"/>
          <w:lang w:val="en-US" w:eastAsia="zh-CN"/>
        </w:rPr>
      </w:pPr>
      <w:r>
        <w:rPr>
          <w:rFonts w:hint="eastAsia" w:ascii="黑体" w:hAnsi="宋体" w:eastAsia="黑体"/>
          <w:color w:val="000000"/>
          <w:sz w:val="24"/>
          <w:lang w:val="en-US" w:eastAsia="zh-CN"/>
        </w:rPr>
        <w:t>2.2.3.6 力学性能</w:t>
      </w:r>
    </w:p>
    <w:p w14:paraId="6143E204">
      <w:pPr>
        <w:pStyle w:val="15"/>
        <w:numPr>
          <w:ilvl w:val="0"/>
          <w:numId w:val="4"/>
        </w:numPr>
        <w:spacing w:line="360" w:lineRule="auto"/>
        <w:ind w:left="0" w:leftChars="0" w:firstLine="480" w:firstLineChars="200"/>
        <w:rPr>
          <w:rFonts w:hint="eastAsia" w:cs="Calibri"/>
          <w:sz w:val="24"/>
          <w:lang w:val="en-US" w:eastAsia="zh-CN" w:bidi="ar-SA"/>
        </w:rPr>
      </w:pPr>
      <w:r>
        <w:rPr>
          <w:rFonts w:hint="eastAsia" w:cs="Calibri"/>
          <w:sz w:val="24"/>
          <w:lang w:val="en-US" w:eastAsia="zh-CN" w:bidi="ar-SA"/>
        </w:rPr>
        <w:t>儿童学习桌、椅的力学性能在GB/T 43002—2023中有具体的规定，本标准原则上与该标准保持协调，采用了其按两个年龄段的分水平进行力值、载荷或试验次数的方式。因GB/T 43002—2023中引用的试验方法GB/T 10357系列标准中的多项标准已经进行了修订，本标准对照采用新的试验方法标准，并进行了试验验证。</w:t>
      </w:r>
    </w:p>
    <w:p w14:paraId="5DDA3633">
      <w:pPr>
        <w:pStyle w:val="15"/>
        <w:spacing w:line="360" w:lineRule="auto"/>
        <w:ind w:firstLine="480"/>
        <w:rPr>
          <w:rFonts w:hint="default" w:cs="Calibri"/>
          <w:sz w:val="24"/>
          <w:lang w:val="en-US" w:eastAsia="zh-CN" w:bidi="ar-SA"/>
        </w:rPr>
      </w:pPr>
      <w:r>
        <w:rPr>
          <w:rFonts w:hint="eastAsia" w:cs="Calibri"/>
          <w:sz w:val="24"/>
          <w:lang w:val="en-US" w:eastAsia="zh-CN" w:bidi="ar-SA"/>
        </w:rPr>
        <w:t>桌类的稳定性按照新版GB/T 10357.7，只有垂直载荷，没有水平加载力了，更不容易引起倾翻。儿童学习椅现常见脚踏板设计，因此增加了脚踏板的稳定性、静载荷和耐久性的要求和试验。</w:t>
      </w:r>
    </w:p>
    <w:p w14:paraId="3119F8A0">
      <w:pPr>
        <w:numPr>
          <w:ilvl w:val="0"/>
          <w:numId w:val="4"/>
        </w:numPr>
        <w:spacing w:line="440" w:lineRule="exact"/>
        <w:ind w:left="0" w:leftChars="0" w:firstLine="480" w:firstLineChars="200"/>
        <w:rPr>
          <w:rFonts w:hint="default" w:ascii="宋体" w:hAnsi="Calibri" w:eastAsia="宋体" w:cs="Calibri"/>
          <w:sz w:val="24"/>
          <w:lang w:val="en-US" w:eastAsia="zh-CN" w:bidi="ar-SA"/>
        </w:rPr>
      </w:pPr>
      <w:r>
        <w:rPr>
          <w:rFonts w:hint="eastAsia" w:cs="Calibri"/>
          <w:sz w:val="24"/>
          <w:lang w:val="en-US" w:eastAsia="zh-CN" w:bidi="ar-SA"/>
        </w:rPr>
        <w:t>儿童学习桌的倾斜桌面相关要求参考了</w:t>
      </w:r>
      <w:r>
        <w:rPr>
          <w:rFonts w:hint="eastAsia" w:ascii="宋体" w:hAnsi="Calibri" w:eastAsia="宋体" w:cs="Calibri"/>
          <w:sz w:val="24"/>
          <w:lang w:val="en-US" w:eastAsia="zh-CN" w:bidi="ar-SA"/>
        </w:rPr>
        <w:t>T/ZZB 1196—2019</w:t>
      </w:r>
      <w:r>
        <w:rPr>
          <w:rFonts w:hint="eastAsia" w:cs="Calibri"/>
          <w:sz w:val="24"/>
          <w:lang w:val="en-US" w:eastAsia="zh-CN" w:bidi="ar-SA"/>
        </w:rPr>
        <w:t>《儿童学习桌》。</w:t>
      </w:r>
      <w:r>
        <w:rPr>
          <w:rFonts w:hint="eastAsia" w:ascii="宋体" w:hAnsi="Calibri" w:eastAsia="宋体" w:cs="Calibri"/>
          <w:sz w:val="24"/>
          <w:lang w:val="en-US" w:eastAsia="zh-CN" w:bidi="ar-SA"/>
        </w:rPr>
        <w:t>儿童学习桌倾斜桌面的设计应防止一侧压力下的意外翻转，</w:t>
      </w:r>
      <w:r>
        <w:rPr>
          <w:rFonts w:hint="eastAsia" w:cs="Calibri"/>
          <w:sz w:val="24"/>
          <w:lang w:val="en-US" w:eastAsia="zh-CN" w:bidi="ar-SA"/>
        </w:rPr>
        <w:t>使用</w:t>
      </w:r>
      <w:r>
        <w:rPr>
          <w:rFonts w:hint="eastAsia" w:ascii="宋体" w:hAnsi="Calibri" w:eastAsia="宋体" w:cs="Calibri"/>
          <w:sz w:val="24"/>
          <w:lang w:val="en-US" w:eastAsia="zh-CN" w:bidi="ar-SA"/>
        </w:rPr>
        <w:t>GB/T 10357.1—2024中5.5</w:t>
      </w:r>
      <w:r>
        <w:rPr>
          <w:rFonts w:hint="eastAsia" w:cs="Calibri"/>
          <w:sz w:val="24"/>
          <w:lang w:val="en-US" w:eastAsia="zh-CN" w:bidi="ar-SA"/>
        </w:rPr>
        <w:t>中的</w:t>
      </w:r>
      <w:r>
        <w:rPr>
          <w:rFonts w:hint="eastAsia" w:ascii="宋体" w:hAnsi="Calibri" w:eastAsia="宋体" w:cs="Calibri"/>
          <w:sz w:val="24"/>
          <w:lang w:val="en-US" w:eastAsia="zh-CN" w:bidi="ar-SA"/>
        </w:rPr>
        <w:t>加载垫在产品倾斜桌面坐人侧桌边中心离边沿50 mm处垂直向下施加300 N的力，检查倾斜桌面是否翻转或发生倾斜。倾斜桌面固定在一定的倾斜角度后应能稳定在此位置，在以下3个位置固定的情况下，通过加载垫在倾斜桌面中心点上垂直施加100 N的力，倾斜桌面的倾斜角度变化应≤</w:t>
      </w:r>
      <w:r>
        <w:rPr>
          <w:rFonts w:hint="default" w:ascii="宋体" w:hAnsi="Calibri" w:eastAsia="宋体" w:cs="Calibri"/>
          <w:sz w:val="24"/>
          <w:lang w:val="en-US" w:eastAsia="zh-CN" w:bidi="ar-SA"/>
        </w:rPr>
        <w:t>3</w:t>
      </w:r>
      <w:r>
        <w:rPr>
          <w:rFonts w:hint="eastAsia" w:ascii="宋体" w:hAnsi="Calibri" w:eastAsia="宋体" w:cs="Calibri"/>
          <w:sz w:val="24"/>
          <w:lang w:val="en-US" w:eastAsia="zh-CN" w:bidi="ar-SA"/>
        </w:rPr>
        <w:t>°：</w:t>
      </w:r>
    </w:p>
    <w:p w14:paraId="1FF2F748">
      <w:pPr>
        <w:pStyle w:val="15"/>
        <w:numPr>
          <w:ilvl w:val="0"/>
          <w:numId w:val="5"/>
        </w:numPr>
        <w:spacing w:line="360" w:lineRule="auto"/>
        <w:ind w:left="0" w:leftChars="0" w:firstLine="480" w:firstLineChars="200"/>
        <w:rPr>
          <w:rFonts w:hint="eastAsia" w:ascii="宋体" w:hAnsi="Calibri" w:eastAsia="宋体" w:cs="Calibri"/>
          <w:sz w:val="24"/>
          <w:lang w:val="en-US" w:eastAsia="zh-CN" w:bidi="ar-SA"/>
        </w:rPr>
      </w:pPr>
      <w:r>
        <w:rPr>
          <w:rFonts w:hint="eastAsia" w:ascii="宋体" w:hAnsi="Calibri" w:eastAsia="宋体" w:cs="Calibri"/>
          <w:sz w:val="24"/>
          <w:lang w:val="en-US" w:eastAsia="zh-CN" w:bidi="ar-SA"/>
        </w:rPr>
        <w:t>10°±1°（档位调节式产品为最接近10°的档位）；</w:t>
      </w:r>
    </w:p>
    <w:p w14:paraId="4F5CFB79">
      <w:pPr>
        <w:pStyle w:val="15"/>
        <w:numPr>
          <w:ilvl w:val="0"/>
          <w:numId w:val="5"/>
        </w:numPr>
        <w:spacing w:line="360" w:lineRule="auto"/>
        <w:ind w:left="0" w:leftChars="0" w:firstLine="480" w:firstLineChars="200"/>
        <w:rPr>
          <w:rFonts w:hint="eastAsia" w:ascii="宋体" w:hAnsi="Calibri" w:eastAsia="宋体" w:cs="Calibri"/>
          <w:sz w:val="24"/>
          <w:lang w:val="en-US" w:eastAsia="zh-CN" w:bidi="ar-SA"/>
        </w:rPr>
      </w:pPr>
      <w:r>
        <w:rPr>
          <w:rFonts w:hint="eastAsia" w:ascii="宋体" w:hAnsi="Calibri" w:eastAsia="宋体" w:cs="Calibri"/>
          <w:sz w:val="24"/>
          <w:lang w:val="en-US" w:eastAsia="zh-CN" w:bidi="ar-SA"/>
        </w:rPr>
        <w:t>最大角度；</w:t>
      </w:r>
    </w:p>
    <w:p w14:paraId="18214CC4">
      <w:pPr>
        <w:pStyle w:val="15"/>
        <w:numPr>
          <w:ilvl w:val="0"/>
          <w:numId w:val="5"/>
        </w:numPr>
        <w:spacing w:line="360" w:lineRule="auto"/>
        <w:ind w:left="0" w:leftChars="0" w:firstLine="480" w:firstLineChars="200"/>
        <w:rPr>
          <w:rFonts w:hint="default" w:cs="Calibri"/>
          <w:sz w:val="24"/>
          <w:lang w:val="en-US" w:eastAsia="zh-CN" w:bidi="ar-SA"/>
        </w:rPr>
      </w:pPr>
      <w:r>
        <w:rPr>
          <w:rFonts w:hint="eastAsia" w:ascii="宋体" w:hAnsi="Calibri" w:eastAsia="宋体" w:cs="Calibri"/>
          <w:sz w:val="24"/>
          <w:lang w:val="en-US" w:eastAsia="zh-CN" w:bidi="ar-SA"/>
        </w:rPr>
        <w:t>最大角度的中间值（档位调节产品为最接近该值的档位）。</w:t>
      </w:r>
    </w:p>
    <w:p w14:paraId="73B1BED7">
      <w:pPr>
        <w:pStyle w:val="15"/>
        <w:spacing w:line="360" w:lineRule="auto"/>
        <w:ind w:firstLine="0" w:firstLineChars="0"/>
        <w:rPr>
          <w:rFonts w:hint="eastAsia" w:ascii="黑体" w:hAnsi="宋体" w:eastAsia="黑体"/>
          <w:sz w:val="28"/>
          <w:szCs w:val="28"/>
        </w:rPr>
      </w:pPr>
      <w:r>
        <w:rPr>
          <w:rFonts w:hint="eastAsia" w:ascii="黑体" w:hAnsi="宋体" w:eastAsia="黑体"/>
          <w:sz w:val="28"/>
          <w:szCs w:val="28"/>
        </w:rPr>
        <w:t>3 试验验证的分析、综述报告，技术经济论证，预期的经济效益、社会效益和生态效益</w:t>
      </w:r>
    </w:p>
    <w:p w14:paraId="1C55AE46">
      <w:pPr>
        <w:spacing w:line="440" w:lineRule="exact"/>
        <w:rPr>
          <w:rFonts w:hint="eastAsia" w:ascii="黑体" w:hAnsi="宋体" w:eastAsia="黑体"/>
          <w:sz w:val="28"/>
          <w:szCs w:val="28"/>
          <w:highlight w:val="none"/>
          <w:lang w:eastAsia="zh-CN"/>
        </w:rPr>
      </w:pPr>
      <w:r>
        <w:rPr>
          <w:rFonts w:hint="eastAsia" w:ascii="黑体" w:hAnsi="宋体" w:eastAsia="黑体"/>
          <w:color w:val="000000"/>
          <w:sz w:val="24"/>
          <w:lang w:val="en-US" w:eastAsia="zh-CN"/>
        </w:rPr>
        <w:t>3.1 试验验证的分析</w:t>
      </w:r>
    </w:p>
    <w:p w14:paraId="0DE8DF3F">
      <w:pPr>
        <w:numPr>
          <w:ilvl w:val="0"/>
          <w:numId w:val="6"/>
        </w:numPr>
        <w:spacing w:line="440" w:lineRule="exact"/>
        <w:ind w:left="0" w:leftChars="0" w:firstLine="480" w:firstLineChars="200"/>
        <w:rPr>
          <w:rFonts w:hint="eastAsia" w:ascii="黑体" w:hAnsi="宋体" w:eastAsia="黑体"/>
          <w:sz w:val="28"/>
          <w:szCs w:val="28"/>
          <w:highlight w:val="none"/>
          <w:lang w:eastAsia="zh-CN"/>
        </w:rPr>
      </w:pPr>
      <w:r>
        <w:rPr>
          <w:rFonts w:hint="eastAsia" w:ascii="黑体" w:hAnsi="宋体" w:eastAsia="黑体"/>
          <w:color w:val="000000"/>
          <w:sz w:val="24"/>
          <w:lang w:val="en-US" w:eastAsia="zh-CN"/>
        </w:rPr>
        <w:t>力学性能</w:t>
      </w:r>
    </w:p>
    <w:tbl>
      <w:tblPr>
        <w:tblStyle w:val="8"/>
        <w:tblW w:w="969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37"/>
        <w:gridCol w:w="919"/>
        <w:gridCol w:w="2137"/>
        <w:gridCol w:w="1256"/>
        <w:gridCol w:w="1291"/>
        <w:gridCol w:w="1050"/>
        <w:gridCol w:w="1050"/>
        <w:gridCol w:w="1050"/>
      </w:tblGrid>
      <w:tr w14:paraId="66D9FE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8" w:hRule="atLeast"/>
          <w:jc w:val="center"/>
        </w:trPr>
        <w:tc>
          <w:tcPr>
            <w:tcW w:w="399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8519606">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hAnsi="宋体" w:cs="宋体"/>
                <w:sz w:val="18"/>
                <w:szCs w:val="18"/>
                <w:highlight w:val="none"/>
                <w:lang w:val="en-US" w:eastAsia="zh-CN"/>
              </w:rPr>
              <w:t>学习椅</w:t>
            </w:r>
            <w:r>
              <w:rPr>
                <w:rFonts w:hint="eastAsia" w:ascii="宋体" w:hAnsi="宋体" w:eastAsia="宋体" w:cs="宋体"/>
                <w:sz w:val="18"/>
                <w:szCs w:val="18"/>
                <w:highlight w:val="none"/>
                <w:lang w:val="en-US" w:eastAsia="zh-CN"/>
              </w:rPr>
              <w:t>项目</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311A5B77">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hAnsi="宋体" w:cs="宋体"/>
                <w:sz w:val="18"/>
                <w:szCs w:val="18"/>
                <w:highlight w:val="none"/>
                <w:lang w:val="en-US" w:eastAsia="zh-CN"/>
              </w:rPr>
              <w:t>样品1</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7A88E231">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样品2</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7E98525F">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样品3</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433FC374">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hAnsi="宋体" w:cs="宋体"/>
                <w:sz w:val="18"/>
                <w:szCs w:val="18"/>
                <w:highlight w:val="none"/>
                <w:lang w:val="en-US" w:eastAsia="zh-CN"/>
              </w:rPr>
              <w:t>样品4</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03F860A8">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hAnsi="宋体" w:cs="宋体"/>
                <w:sz w:val="18"/>
                <w:szCs w:val="18"/>
                <w:highlight w:val="none"/>
                <w:lang w:val="en-US" w:eastAsia="zh-CN"/>
              </w:rPr>
              <w:t>样品5</w:t>
            </w:r>
          </w:p>
        </w:tc>
      </w:tr>
      <w:tr w14:paraId="0F69F9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8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36050E">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座面靠背联合静载荷</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top"/>
          </w:tcPr>
          <w:p w14:paraId="4E233BF9">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加载次数：10次</w:t>
            </w:r>
          </w:p>
          <w:p w14:paraId="649AB53C">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座面加载力：1000 N</w:t>
            </w:r>
          </w:p>
          <w:p w14:paraId="335DDB88">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靠背加载力：250 N</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0E08B05A">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38358338">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4D8FB399">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76F8BBF0">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3B6C0E16">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r>
      <w:tr w14:paraId="45D2C2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8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EA9334">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扶手水平静载荷</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top"/>
          </w:tcPr>
          <w:p w14:paraId="548DE0A7">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 xml:space="preserve">加载力：350 N </w:t>
            </w:r>
          </w:p>
          <w:p w14:paraId="77C68299">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加载次数：10 次</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3B7BB43A">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2CC4CB19">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无扶手</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3CCAD50E">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无扶手</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71043ACB">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eastAsia="zh-CN"/>
              </w:rPr>
            </w:pPr>
            <w:r>
              <w:rPr>
                <w:rFonts w:hint="default" w:hAnsi="宋体" w:cs="宋体"/>
                <w:sz w:val="18"/>
                <w:szCs w:val="18"/>
                <w:highlight w:val="none"/>
                <w:lang w:eastAsia="zh-CN"/>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417C541D">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r>
      <w:tr w14:paraId="564F19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C92252">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扶手垂直静载荷</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top"/>
          </w:tcPr>
          <w:p w14:paraId="6A7C306C">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 xml:space="preserve">加载力：350 N </w:t>
            </w:r>
          </w:p>
          <w:p w14:paraId="2B8DE103">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加载次数：10 次</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7D3EC92B">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65B5F4D9">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无扶手</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70A15523">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无扶手</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1213298E">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eastAsia="zh-CN"/>
              </w:rPr>
            </w:pPr>
            <w:r>
              <w:rPr>
                <w:rFonts w:hint="default" w:hAnsi="宋体" w:cs="宋体"/>
                <w:sz w:val="18"/>
                <w:szCs w:val="18"/>
                <w:highlight w:val="none"/>
                <w:lang w:eastAsia="zh-CN"/>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4A027282">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r>
      <w:tr w14:paraId="3D5019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8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15CC31">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kern w:val="2"/>
                <w:sz w:val="18"/>
                <w:szCs w:val="18"/>
                <w:lang w:val="en-US" w:eastAsia="zh-CN" w:bidi="ar"/>
              </w:rPr>
              <w:t>脚踏静载荷</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top"/>
          </w:tcPr>
          <w:p w14:paraId="681623F2">
            <w:pPr>
              <w:pStyle w:val="7"/>
              <w:keepNext w:val="0"/>
              <w:keepLines w:val="0"/>
              <w:widowControl/>
              <w:suppressLineNumbers w:val="0"/>
              <w:autoSpaceDE w:val="0"/>
              <w:autoSpaceDN w:val="0"/>
              <w:adjustRightInd w:val="0"/>
              <w:snapToGrid w:val="0"/>
              <w:spacing w:before="0" w:beforeAutospacing="0" w:after="0" w:afterAutospacing="0" w:line="240" w:lineRule="auto"/>
              <w:ind w:left="0" w:right="-98"/>
              <w:jc w:val="both"/>
              <w:rPr>
                <w:rFonts w:hint="default"/>
                <w:sz w:val="18"/>
                <w:szCs w:val="18"/>
                <w:lang w:val="en-US"/>
              </w:rPr>
            </w:pPr>
            <w:r>
              <w:rPr>
                <w:rFonts w:hint="eastAsia" w:ascii="宋体" w:hAnsi="宋体" w:eastAsia="宋体" w:cs="宋体"/>
                <w:kern w:val="0"/>
                <w:sz w:val="18"/>
                <w:szCs w:val="18"/>
                <w:lang w:val="en-US" w:eastAsia="zh-CN" w:bidi="ar"/>
              </w:rPr>
              <w:t xml:space="preserve">加载力：1300 N </w:t>
            </w:r>
          </w:p>
          <w:p w14:paraId="4602665D">
            <w:pPr>
              <w:keepNext w:val="0"/>
              <w:keepLines w:val="0"/>
              <w:widowControl/>
              <w:suppressLineNumbers w:val="0"/>
              <w:spacing w:before="0" w:beforeAutospacing="0" w:after="0" w:afterAutospacing="0"/>
              <w:ind w:left="0" w:right="0"/>
              <w:jc w:val="left"/>
              <w:rPr>
                <w:rFonts w:hint="eastAsia" w:ascii="宋体" w:hAnsi="宋体" w:eastAsia="宋体" w:cs="宋体"/>
                <w:sz w:val="18"/>
                <w:szCs w:val="18"/>
                <w:highlight w:val="none"/>
                <w:lang w:val="en-US" w:eastAsia="zh-CN"/>
              </w:rPr>
            </w:pPr>
            <w:r>
              <w:rPr>
                <w:rFonts w:hint="eastAsia" w:ascii="宋体" w:hAnsi="宋体" w:eastAsia="宋体" w:cs="宋体"/>
                <w:kern w:val="2"/>
                <w:sz w:val="18"/>
                <w:szCs w:val="18"/>
                <w:lang w:val="en-US" w:eastAsia="zh-CN" w:bidi="ar"/>
              </w:rPr>
              <w:t>加载次数：10 次</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1F84C976">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7E6EED4F">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32AA1BEA">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775C3260">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eastAsia="zh-CN"/>
              </w:rPr>
            </w:pPr>
            <w:r>
              <w:rPr>
                <w:rFonts w:hint="default" w:hAnsi="宋体" w:cs="宋体"/>
                <w:sz w:val="18"/>
                <w:szCs w:val="18"/>
                <w:highlight w:val="none"/>
                <w:lang w:eastAsia="zh-CN"/>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3AE9CF28">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r>
      <w:tr w14:paraId="283CEA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8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1EB559">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底座静载荷</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top"/>
          </w:tcPr>
          <w:p w14:paraId="0A0B0427">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 xml:space="preserve">加载力：7560 N </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56B6A792">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046F6783">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0975EF0A">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70086B96">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126957E5">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eastAsia="zh-CN"/>
              </w:rPr>
            </w:pPr>
            <w:r>
              <w:rPr>
                <w:rFonts w:hint="default" w:hAnsi="宋体" w:cs="宋体"/>
                <w:sz w:val="18"/>
                <w:szCs w:val="18"/>
                <w:highlight w:val="none"/>
                <w:lang w:eastAsia="zh-CN"/>
              </w:rPr>
              <w:t>-</w:t>
            </w:r>
          </w:p>
        </w:tc>
      </w:tr>
      <w:tr w14:paraId="599934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8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340C24">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hAnsi="宋体" w:cs="宋体"/>
                <w:sz w:val="18"/>
                <w:szCs w:val="18"/>
                <w:highlight w:val="none"/>
                <w:lang w:val="en-US" w:eastAsia="zh-CN"/>
              </w:rPr>
              <w:t>椅腿向前静载荷</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top"/>
          </w:tcPr>
          <w:p w14:paraId="72ABBDF8">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hAnsi="宋体" w:cs="宋体"/>
                <w:sz w:val="18"/>
                <w:szCs w:val="18"/>
                <w:highlight w:val="none"/>
                <w:lang w:val="en-US" w:eastAsia="zh-CN"/>
              </w:rPr>
            </w:pPr>
            <w:r>
              <w:rPr>
                <w:rFonts w:hint="eastAsia" w:hAnsi="宋体" w:cs="宋体"/>
                <w:sz w:val="18"/>
                <w:szCs w:val="18"/>
                <w:highlight w:val="none"/>
                <w:lang w:val="en-US" w:eastAsia="zh-CN"/>
              </w:rPr>
              <w:t>最大加载力：300N</w:t>
            </w:r>
          </w:p>
          <w:p w14:paraId="151C0FE7">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hAnsi="宋体" w:cs="宋体"/>
                <w:sz w:val="18"/>
                <w:szCs w:val="18"/>
                <w:highlight w:val="none"/>
                <w:lang w:val="en-US" w:eastAsia="zh-CN"/>
              </w:rPr>
            </w:pPr>
            <w:r>
              <w:rPr>
                <w:rFonts w:hint="eastAsia" w:hAnsi="宋体" w:cs="宋体"/>
                <w:sz w:val="18"/>
                <w:szCs w:val="18"/>
                <w:highlight w:val="none"/>
                <w:lang w:val="en-US" w:eastAsia="zh-CN"/>
              </w:rPr>
              <w:t>座面载荷：750N</w:t>
            </w:r>
          </w:p>
          <w:p w14:paraId="5D6E2D69">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hAnsi="宋体" w:cs="宋体"/>
                <w:sz w:val="18"/>
                <w:szCs w:val="18"/>
                <w:highlight w:val="none"/>
                <w:lang w:val="en-US" w:eastAsia="zh-CN"/>
              </w:rPr>
            </w:pPr>
            <w:r>
              <w:rPr>
                <w:rFonts w:hint="eastAsia" w:hAnsi="宋体" w:cs="宋体"/>
                <w:sz w:val="18"/>
                <w:szCs w:val="18"/>
                <w:highlight w:val="none"/>
                <w:lang w:val="en-US" w:eastAsia="zh-CN"/>
              </w:rPr>
              <w:t>加载次数：10次</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2BA79114">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符合</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1DAC98FC">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0BA3A558">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3F1E1B39">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eastAsia="zh-CN"/>
              </w:rPr>
            </w:pPr>
            <w:r>
              <w:rPr>
                <w:rFonts w:hint="default" w:hAnsi="宋体" w:cs="宋体"/>
                <w:sz w:val="18"/>
                <w:szCs w:val="18"/>
                <w:highlight w:val="none"/>
                <w:lang w:eastAsia="zh-CN"/>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28EF31DC">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eastAsia="zh-CN"/>
              </w:rPr>
            </w:pPr>
            <w:r>
              <w:rPr>
                <w:rFonts w:hint="default" w:hAnsi="宋体" w:cs="宋体"/>
                <w:sz w:val="18"/>
                <w:szCs w:val="18"/>
                <w:highlight w:val="none"/>
                <w:lang w:eastAsia="zh-CN"/>
              </w:rPr>
              <w:t>-</w:t>
            </w:r>
          </w:p>
        </w:tc>
      </w:tr>
      <w:tr w14:paraId="0CCEDA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18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E97388">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hAnsi="宋体" w:cs="宋体"/>
                <w:sz w:val="18"/>
                <w:szCs w:val="18"/>
                <w:highlight w:val="none"/>
                <w:lang w:val="en-US" w:eastAsia="zh-CN"/>
              </w:rPr>
              <w:t>椅腿侧向静载荷</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top"/>
          </w:tcPr>
          <w:p w14:paraId="22F69F71">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最大加载力：</w:t>
            </w:r>
            <w:r>
              <w:rPr>
                <w:rFonts w:hint="eastAsia" w:hAnsi="宋体" w:cs="宋体"/>
                <w:sz w:val="18"/>
                <w:szCs w:val="18"/>
                <w:highlight w:val="none"/>
                <w:lang w:val="en-US" w:eastAsia="zh-CN"/>
              </w:rPr>
              <w:t>25</w:t>
            </w:r>
            <w:r>
              <w:rPr>
                <w:rFonts w:hint="eastAsia" w:ascii="宋体" w:hAnsi="宋体" w:eastAsia="宋体" w:cs="宋体"/>
                <w:sz w:val="18"/>
                <w:szCs w:val="18"/>
                <w:highlight w:val="none"/>
                <w:lang w:val="en-US" w:eastAsia="zh-CN"/>
              </w:rPr>
              <w:t>0N</w:t>
            </w:r>
          </w:p>
          <w:p w14:paraId="536FD152">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座面载荷：750N</w:t>
            </w:r>
          </w:p>
          <w:p w14:paraId="080AC39A">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加载次数：10次</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703641F7">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符合</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0B6BD153">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70BCCFA3">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6C23F7B2">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eastAsia="zh-CN"/>
              </w:rPr>
            </w:pPr>
            <w:r>
              <w:rPr>
                <w:rFonts w:hint="default" w:hAnsi="宋体" w:cs="宋体"/>
                <w:sz w:val="18"/>
                <w:szCs w:val="18"/>
                <w:highlight w:val="none"/>
                <w:lang w:eastAsia="zh-CN"/>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439152B0">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eastAsia="zh-CN"/>
              </w:rPr>
            </w:pPr>
            <w:r>
              <w:rPr>
                <w:rFonts w:hint="default" w:hAnsi="宋体" w:cs="宋体"/>
                <w:sz w:val="18"/>
                <w:szCs w:val="18"/>
                <w:highlight w:val="none"/>
                <w:lang w:eastAsia="zh-CN"/>
              </w:rPr>
              <w:t>-</w:t>
            </w:r>
          </w:p>
        </w:tc>
      </w:tr>
      <w:tr w14:paraId="2ECD66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8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33CA7C">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座面冲击</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top"/>
          </w:tcPr>
          <w:p w14:paraId="6FB23215">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冲击高度：140 mm</w:t>
            </w:r>
          </w:p>
          <w:p w14:paraId="2C0B44F2">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冲击次数：10次</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307F4906">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718CCEB1">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6ABB66C9">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14DB783E">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39B19A55">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r>
      <w:tr w14:paraId="759DFF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8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9C54F4">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靠背冲击</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top"/>
          </w:tcPr>
          <w:p w14:paraId="685D4B28">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冲击高度：120 mm</w:t>
            </w:r>
          </w:p>
          <w:p w14:paraId="5352A27D">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冲击次数：10次</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00FE017C">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712F6896">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4083DEDE">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13511DA8">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4FBB93EE">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r>
      <w:tr w14:paraId="5E0C40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8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6D7ACD">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跌落试验</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top"/>
          </w:tcPr>
          <w:p w14:paraId="09A34072">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跌落高度：150 mm</w:t>
            </w:r>
          </w:p>
          <w:p w14:paraId="6E6C4C0F">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跌落次数：10次</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17D3DCCC">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48829E84">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1CB7DA11">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706CFE88">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47E3E65D">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r>
      <w:tr w14:paraId="40A429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8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C11F66">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座面靠背联合耐久性</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top"/>
          </w:tcPr>
          <w:p w14:paraId="48DCA1D1">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 xml:space="preserve">座面加载力：750 N </w:t>
            </w:r>
          </w:p>
          <w:p w14:paraId="64FB27C6">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靠背加载力：250 N</w:t>
            </w:r>
          </w:p>
          <w:p w14:paraId="5450F35F">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循环次数：10000次</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652ECECF">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1C05A5B5">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00700D62">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/转椅</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2BB2E9D8">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7DF145E1">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r>
      <w:tr w14:paraId="76A2A2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8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6E75CB">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hAnsi="宋体" w:cs="宋体"/>
                <w:sz w:val="18"/>
                <w:szCs w:val="18"/>
                <w:highlight w:val="none"/>
                <w:lang w:val="en-US" w:eastAsia="zh-CN"/>
              </w:rPr>
              <w:t>座面回转耐久性</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top"/>
          </w:tcPr>
          <w:p w14:paraId="63A589F2">
            <w:pPr>
              <w:keepNext w:val="0"/>
              <w:keepLines w:val="0"/>
              <w:widowControl w:val="0"/>
              <w:suppressLineNumbers w:val="0"/>
              <w:adjustRightInd/>
              <w:spacing w:before="0" w:beforeAutospacing="0" w:after="0" w:afterAutospacing="0" w:line="240" w:lineRule="auto"/>
              <w:ind w:left="0" w:right="0"/>
              <w:jc w:val="both"/>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座面静载荷：102 kg</w:t>
            </w:r>
          </w:p>
          <w:p w14:paraId="15A2C428">
            <w:pPr>
              <w:keepNext w:val="0"/>
              <w:keepLines w:val="0"/>
              <w:widowControl/>
              <w:suppressLineNumbers w:val="0"/>
              <w:spacing w:before="0" w:beforeAutospacing="0" w:after="0" w:afterAutospacing="0"/>
              <w:ind w:left="0" w:right="0"/>
              <w:jc w:val="left"/>
              <w:rPr>
                <w:rFonts w:hint="eastAsia" w:ascii="宋体" w:hAnsi="宋体" w:eastAsia="宋体" w:cs="宋体"/>
                <w:sz w:val="18"/>
                <w:szCs w:val="18"/>
                <w:highlight w:val="none"/>
                <w:lang w:val="en-US" w:eastAsia="zh-CN"/>
              </w:rPr>
            </w:pPr>
            <w:r>
              <w:rPr>
                <w:rFonts w:hint="eastAsia" w:ascii="宋体" w:hAnsi="宋体" w:eastAsia="宋体" w:cs="Times New Roman"/>
                <w:kern w:val="2"/>
                <w:sz w:val="18"/>
                <w:szCs w:val="18"/>
                <w:lang w:val="en-US" w:eastAsia="zh-CN" w:bidi="ar"/>
              </w:rPr>
              <w:t>回转次数：120000次</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5C9F64FF">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hAnsi="宋体" w:cs="宋体"/>
                <w:sz w:val="18"/>
                <w:szCs w:val="18"/>
                <w:highlight w:val="none"/>
                <w:lang w:val="en-US" w:eastAsia="zh-CN"/>
              </w:rPr>
              <w:t>-</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46B48B36">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hAnsi="宋体" w:cs="宋体"/>
                <w:sz w:val="18"/>
                <w:szCs w:val="18"/>
                <w:highlight w:val="none"/>
                <w:lang w:val="en-US" w:eastAsia="zh-CN"/>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7AB8EEB5">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hAnsi="宋体" w:cs="宋体"/>
                <w:sz w:val="18"/>
                <w:szCs w:val="18"/>
                <w:highlight w:val="none"/>
                <w:lang w:val="en-US" w:eastAsia="zh-CN"/>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432A8848">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hAnsi="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271846D8">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eastAsia="zh-CN"/>
              </w:rPr>
            </w:pPr>
            <w:r>
              <w:rPr>
                <w:rFonts w:hint="default" w:hAnsi="宋体" w:cs="宋体"/>
                <w:sz w:val="18"/>
                <w:szCs w:val="18"/>
                <w:highlight w:val="none"/>
                <w:lang w:eastAsia="zh-CN"/>
              </w:rPr>
              <w:t>-</w:t>
            </w:r>
          </w:p>
        </w:tc>
      </w:tr>
      <w:tr w14:paraId="55A433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8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075A95">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座面往复冲击耐久性</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top"/>
          </w:tcPr>
          <w:p w14:paraId="732FB552">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冲击袋质量：57 kg</w:t>
            </w:r>
          </w:p>
          <w:p w14:paraId="317B2DEF">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冲击高度：25 mm</w:t>
            </w:r>
          </w:p>
          <w:p w14:paraId="3176F156">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冲击次数：100000次</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316E37A0">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6F0F3B67">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67172DF2">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2CDFBB4E">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hAnsi="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2754AF3A">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r>
      <w:tr w14:paraId="30F2DA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8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5CAA1A">
            <w:pPr>
              <w:keepNext w:val="0"/>
              <w:keepLines w:val="0"/>
              <w:widowControl w:val="0"/>
              <w:suppressLineNumbers w:val="0"/>
              <w:adjustRightInd/>
              <w:spacing w:before="0" w:beforeAutospacing="0" w:after="0" w:afterAutospacing="0" w:line="240" w:lineRule="auto"/>
              <w:ind w:left="0" w:leftChars="0" w:right="0" w:rightChars="0"/>
              <w:jc w:val="center"/>
              <w:rPr>
                <w:rFonts w:hint="eastAsia" w:ascii="宋体" w:hAnsi="宋体" w:eastAsia="宋体" w:cs="宋体"/>
                <w:sz w:val="18"/>
                <w:szCs w:val="18"/>
                <w:highlight w:val="none"/>
                <w:lang w:val="en-US" w:eastAsia="zh-CN"/>
              </w:rPr>
            </w:pPr>
            <w:r>
              <w:rPr>
                <w:rFonts w:hint="eastAsia" w:ascii="宋体" w:hAnsi="宋体" w:eastAsia="宋体" w:cs="宋体"/>
                <w:kern w:val="2"/>
                <w:sz w:val="18"/>
                <w:szCs w:val="18"/>
                <w:lang w:val="en-US" w:eastAsia="zh-CN" w:bidi="ar"/>
              </w:rPr>
              <w:t>前向稳定性/无扶手椅侧向倾翻</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top"/>
          </w:tcPr>
          <w:p w14:paraId="363F78A1">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座面载荷：500/N</w:t>
            </w:r>
          </w:p>
          <w:p w14:paraId="32A0D725">
            <w:pPr>
              <w:keepNext w:val="0"/>
              <w:keepLines w:val="0"/>
              <w:widowControl w:val="0"/>
              <w:suppressLineNumbers w:val="0"/>
              <w:adjustRightInd/>
              <w:spacing w:before="0" w:beforeAutospacing="0" w:after="0" w:afterAutospacing="0" w:line="240" w:lineRule="auto"/>
              <w:ind w:left="0" w:leftChars="0" w:right="0" w:rightChars="0"/>
              <w:jc w:val="center"/>
              <w:rPr>
                <w:rFonts w:hint="eastAsia" w:ascii="宋体" w:hAnsi="宋体" w:eastAsia="宋体" w:cs="宋体"/>
                <w:sz w:val="18"/>
                <w:szCs w:val="18"/>
                <w:highlight w:val="none"/>
                <w:lang w:val="en-US" w:eastAsia="zh-CN"/>
              </w:rPr>
            </w:pPr>
            <w:r>
              <w:rPr>
                <w:rFonts w:hint="eastAsia" w:ascii="宋体" w:hAnsi="宋体" w:eastAsia="宋体" w:cs="宋体"/>
                <w:kern w:val="2"/>
                <w:sz w:val="18"/>
                <w:szCs w:val="18"/>
                <w:lang w:val="en-US" w:eastAsia="zh-CN" w:bidi="ar"/>
              </w:rPr>
              <w:t>水平力：20N</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14259A94">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6057ED3A">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3514A92C">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72628904">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7706C690">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textAlignment w:val="auto"/>
              <w:rPr>
                <w:rFonts w:hint="eastAsia" w:ascii="宋体" w:hAnsi="宋体" w:eastAsia="宋体" w:cs="宋体"/>
                <w:sz w:val="18"/>
                <w:szCs w:val="18"/>
                <w:highlight w:val="none"/>
                <w:lang w:val="en-US" w:eastAsia="zh-CN" w:bidi="ar-SA"/>
              </w:rPr>
            </w:pPr>
            <w:r>
              <w:rPr>
                <w:rFonts w:hint="eastAsia" w:hAnsi="宋体" w:cs="宋体"/>
                <w:sz w:val="18"/>
                <w:szCs w:val="18"/>
                <w:highlight w:val="none"/>
                <w:lang w:val="en-US" w:eastAsia="zh-CN"/>
              </w:rPr>
              <w:t>符合</w:t>
            </w:r>
          </w:p>
        </w:tc>
      </w:tr>
      <w:tr w14:paraId="5413BA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8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E64E62">
            <w:pPr>
              <w:keepNext w:val="0"/>
              <w:keepLines w:val="0"/>
              <w:widowControl w:val="0"/>
              <w:suppressLineNumbers w:val="0"/>
              <w:adjustRightInd/>
              <w:spacing w:before="0" w:beforeAutospacing="0" w:after="0" w:afterAutospacing="0" w:line="240" w:lineRule="auto"/>
              <w:ind w:left="0" w:leftChars="0" w:right="0" w:rightChars="0"/>
              <w:jc w:val="center"/>
              <w:rPr>
                <w:rFonts w:hint="eastAsia" w:ascii="宋体" w:hAnsi="宋体" w:eastAsia="宋体" w:cs="宋体"/>
                <w:sz w:val="18"/>
                <w:szCs w:val="18"/>
                <w:highlight w:val="none"/>
                <w:lang w:val="en-US" w:eastAsia="zh-CN"/>
              </w:rPr>
            </w:pPr>
            <w:r>
              <w:rPr>
                <w:rFonts w:hint="eastAsia" w:ascii="宋体" w:hAnsi="宋体" w:cs="宋体"/>
                <w:kern w:val="2"/>
                <w:sz w:val="18"/>
                <w:szCs w:val="18"/>
                <w:lang w:val="en-US" w:eastAsia="zh-CN" w:bidi="ar"/>
              </w:rPr>
              <w:t>扶手椅</w:t>
            </w:r>
            <w:r>
              <w:rPr>
                <w:rFonts w:hint="eastAsia" w:ascii="宋体" w:hAnsi="宋体" w:eastAsia="宋体" w:cs="宋体"/>
                <w:kern w:val="2"/>
                <w:sz w:val="18"/>
                <w:szCs w:val="18"/>
                <w:lang w:val="en-US" w:eastAsia="zh-CN" w:bidi="ar"/>
              </w:rPr>
              <w:t>侧向稳定性</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top"/>
          </w:tcPr>
          <w:p w14:paraId="4C078295">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座面载荷：210/N</w:t>
            </w:r>
          </w:p>
          <w:p w14:paraId="400F6EC5">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扶手载荷：300N</w:t>
            </w:r>
          </w:p>
          <w:p w14:paraId="0B801A96">
            <w:pPr>
              <w:keepNext w:val="0"/>
              <w:keepLines w:val="0"/>
              <w:widowControl w:val="0"/>
              <w:suppressLineNumbers w:val="0"/>
              <w:adjustRightInd/>
              <w:spacing w:before="0" w:beforeAutospacing="0" w:after="0" w:afterAutospacing="0" w:line="240" w:lineRule="auto"/>
              <w:ind w:left="0" w:leftChars="0" w:right="0" w:rightChars="0"/>
              <w:jc w:val="center"/>
              <w:rPr>
                <w:rFonts w:hint="eastAsia" w:ascii="宋体" w:hAnsi="宋体" w:eastAsia="宋体" w:cs="宋体"/>
                <w:sz w:val="18"/>
                <w:szCs w:val="18"/>
                <w:highlight w:val="none"/>
                <w:lang w:val="en-US" w:eastAsia="zh-CN"/>
              </w:rPr>
            </w:pPr>
            <w:r>
              <w:rPr>
                <w:rFonts w:hint="eastAsia" w:ascii="宋体" w:hAnsi="宋体" w:eastAsia="宋体" w:cs="宋体"/>
                <w:kern w:val="2"/>
                <w:sz w:val="18"/>
                <w:szCs w:val="18"/>
                <w:lang w:val="en-US" w:eastAsia="zh-CN" w:bidi="ar"/>
              </w:rPr>
              <w:t>水平力：20N</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0A9EE22D">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倾翻</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0CF7DFF5">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无扶手</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569C4372">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无扶手</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166F77EB">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无扶手</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65B81292">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符合</w:t>
            </w:r>
          </w:p>
        </w:tc>
      </w:tr>
      <w:tr w14:paraId="2E8268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jc w:val="center"/>
        </w:trPr>
        <w:tc>
          <w:tcPr>
            <w:tcW w:w="937" w:type="dxa"/>
            <w:vMerge w:val="restart"/>
            <w:tcBorders>
              <w:top w:val="single" w:color="auto" w:sz="4" w:space="0"/>
              <w:left w:val="single" w:color="auto" w:sz="4" w:space="0"/>
              <w:right w:val="single" w:color="auto" w:sz="4" w:space="0"/>
            </w:tcBorders>
            <w:shd w:val="clear" w:color="auto" w:fill="auto"/>
            <w:vAlign w:val="center"/>
          </w:tcPr>
          <w:p w14:paraId="1929F0C8">
            <w:pPr>
              <w:keepNext w:val="0"/>
              <w:keepLines w:val="0"/>
              <w:widowControl w:val="0"/>
              <w:suppressLineNumbers w:val="0"/>
              <w:adjustRightInd/>
              <w:spacing w:before="0" w:beforeAutospacing="0" w:after="0" w:afterAutospacing="0" w:line="240" w:lineRule="auto"/>
              <w:ind w:left="0" w:leftChars="0" w:right="0" w:rightChars="0"/>
              <w:jc w:val="center"/>
              <w:rPr>
                <w:rFonts w:hint="eastAsia" w:ascii="宋体" w:hAnsi="宋体" w:eastAsia="宋体" w:cs="宋体"/>
                <w:sz w:val="18"/>
                <w:szCs w:val="18"/>
                <w:highlight w:val="none"/>
                <w:lang w:val="en-US" w:eastAsia="zh-CN"/>
              </w:rPr>
            </w:pPr>
            <w:r>
              <w:rPr>
                <w:rFonts w:hint="eastAsia" w:ascii="宋体" w:hAnsi="宋体" w:eastAsia="宋体" w:cs="宋体"/>
                <w:kern w:val="2"/>
                <w:sz w:val="18"/>
                <w:szCs w:val="18"/>
                <w:lang w:val="en-US" w:eastAsia="zh-CN" w:bidi="ar"/>
              </w:rPr>
              <w:t>后向稳定性</w:t>
            </w:r>
          </w:p>
        </w:tc>
        <w:tc>
          <w:tcPr>
            <w:tcW w:w="919" w:type="dxa"/>
            <w:tcBorders>
              <w:top w:val="single" w:color="auto" w:sz="4" w:space="0"/>
              <w:left w:val="single" w:color="auto" w:sz="4" w:space="0"/>
              <w:bottom w:val="single" w:color="auto" w:sz="4" w:space="0"/>
              <w:right w:val="single" w:color="auto" w:sz="4" w:space="0"/>
            </w:tcBorders>
            <w:shd w:val="clear" w:color="auto" w:fill="auto"/>
            <w:vAlign w:val="center"/>
          </w:tcPr>
          <w:p w14:paraId="3E8C6691">
            <w:pPr>
              <w:keepNext w:val="0"/>
              <w:keepLines w:val="0"/>
              <w:widowControl w:val="0"/>
              <w:suppressLineNumbers w:val="0"/>
              <w:adjustRightInd/>
              <w:spacing w:before="0" w:beforeAutospacing="0" w:after="0" w:afterAutospacing="0" w:line="240" w:lineRule="auto"/>
              <w:ind w:left="0" w:leftChars="0" w:right="0" w:rightChars="0"/>
              <w:jc w:val="center"/>
              <w:rPr>
                <w:rFonts w:hint="default"/>
                <w:sz w:val="18"/>
                <w:szCs w:val="18"/>
              </w:rPr>
            </w:pPr>
            <w:r>
              <w:rPr>
                <w:rFonts w:hint="eastAsia" w:ascii="宋体" w:hAnsi="宋体" w:eastAsia="宋体" w:cs="宋体"/>
                <w:kern w:val="2"/>
                <w:sz w:val="18"/>
                <w:szCs w:val="18"/>
                <w:lang w:val="en-US" w:eastAsia="zh-CN" w:bidi="ar"/>
              </w:rPr>
              <w:t>靠背不可倾斜</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top"/>
          </w:tcPr>
          <w:p w14:paraId="50E358F5">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座面载荷：500/N</w:t>
            </w:r>
          </w:p>
          <w:p w14:paraId="5F3F0DFB">
            <w:pPr>
              <w:keepNext w:val="0"/>
              <w:keepLines w:val="0"/>
              <w:widowControl w:val="0"/>
              <w:suppressLineNumbers w:val="0"/>
              <w:adjustRightInd/>
              <w:spacing w:before="0" w:beforeAutospacing="0" w:after="0" w:afterAutospacing="0" w:line="240" w:lineRule="auto"/>
              <w:ind w:left="0" w:leftChars="0" w:right="0" w:rightChars="0"/>
              <w:jc w:val="center"/>
              <w:rPr>
                <w:rFonts w:hint="eastAsia" w:ascii="宋体" w:hAnsi="宋体" w:eastAsia="宋体" w:cs="宋体"/>
                <w:sz w:val="18"/>
                <w:szCs w:val="18"/>
                <w:highlight w:val="none"/>
                <w:lang w:val="en-US" w:eastAsia="zh-CN"/>
              </w:rPr>
            </w:pPr>
            <w:r>
              <w:rPr>
                <w:rFonts w:hint="eastAsia" w:ascii="宋体" w:hAnsi="宋体" w:eastAsia="宋体" w:cs="宋体"/>
                <w:kern w:val="2"/>
                <w:sz w:val="18"/>
                <w:szCs w:val="18"/>
                <w:lang w:val="en-US" w:eastAsia="zh-CN" w:bidi="ar"/>
              </w:rPr>
              <w:t>后向力：130N</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12FA993E">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53333BDF">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5AF09341">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2EDD4E48">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eastAsia="zh-CN"/>
              </w:rPr>
            </w:pPr>
            <w:r>
              <w:rPr>
                <w:rFonts w:hint="default" w:hAnsi="宋体" w:cs="宋体"/>
                <w:sz w:val="18"/>
                <w:szCs w:val="18"/>
                <w:highlight w:val="none"/>
                <w:lang w:eastAsia="zh-CN"/>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33888352">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r>
      <w:tr w14:paraId="39A512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jc w:val="center"/>
        </w:trPr>
        <w:tc>
          <w:tcPr>
            <w:tcW w:w="937" w:type="dxa"/>
            <w:vMerge w:val="continue"/>
            <w:tcBorders>
              <w:left w:val="single" w:color="auto" w:sz="4" w:space="0"/>
              <w:bottom w:val="single" w:color="auto" w:sz="4" w:space="0"/>
              <w:right w:val="single" w:color="auto" w:sz="4" w:space="0"/>
            </w:tcBorders>
            <w:shd w:val="clear" w:color="auto" w:fill="auto"/>
            <w:vAlign w:val="center"/>
          </w:tcPr>
          <w:p w14:paraId="5E47429A">
            <w:pPr>
              <w:keepNext w:val="0"/>
              <w:keepLines w:val="0"/>
              <w:widowControl w:val="0"/>
              <w:suppressLineNumbers w:val="0"/>
              <w:adjustRightInd/>
              <w:spacing w:before="0" w:beforeAutospacing="0" w:after="0" w:afterAutospacing="0" w:line="240" w:lineRule="auto"/>
              <w:ind w:left="0" w:leftChars="0" w:right="0" w:rightChars="0"/>
              <w:jc w:val="center"/>
              <w:rPr>
                <w:rFonts w:hint="eastAsia" w:ascii="宋体" w:hAnsi="宋体" w:eastAsia="宋体" w:cs="宋体"/>
                <w:kern w:val="2"/>
                <w:sz w:val="18"/>
                <w:szCs w:val="18"/>
                <w:lang w:val="en-US" w:eastAsia="zh-CN" w:bidi="ar"/>
              </w:rPr>
            </w:pPr>
          </w:p>
        </w:tc>
        <w:tc>
          <w:tcPr>
            <w:tcW w:w="919" w:type="dxa"/>
            <w:tcBorders>
              <w:top w:val="single" w:color="auto" w:sz="4" w:space="0"/>
              <w:left w:val="single" w:color="auto" w:sz="4" w:space="0"/>
              <w:bottom w:val="single" w:color="auto" w:sz="4" w:space="0"/>
              <w:right w:val="single" w:color="auto" w:sz="4" w:space="0"/>
            </w:tcBorders>
            <w:shd w:val="clear" w:color="auto" w:fill="auto"/>
            <w:vAlign w:val="center"/>
          </w:tcPr>
          <w:p w14:paraId="7CC5CA68">
            <w:pPr>
              <w:keepNext w:val="0"/>
              <w:keepLines w:val="0"/>
              <w:widowControl w:val="0"/>
              <w:suppressLineNumbers w:val="0"/>
              <w:adjustRightInd/>
              <w:spacing w:before="0" w:beforeAutospacing="0" w:after="0" w:afterAutospacing="0" w:line="240" w:lineRule="auto"/>
              <w:ind w:left="0" w:leftChars="0" w:right="0" w:rightChars="0"/>
              <w:jc w:val="center"/>
              <w:rPr>
                <w:rFonts w:hint="default" w:ascii="宋体" w:hAnsi="宋体" w:eastAsia="宋体" w:cs="宋体"/>
                <w:kern w:val="2"/>
                <w:sz w:val="18"/>
                <w:szCs w:val="18"/>
                <w:lang w:val="en-US" w:eastAsia="zh-CN" w:bidi="ar"/>
              </w:rPr>
            </w:pPr>
            <w:r>
              <w:rPr>
                <w:rFonts w:hint="eastAsia" w:ascii="宋体" w:hAnsi="宋体" w:cs="宋体"/>
                <w:kern w:val="2"/>
                <w:sz w:val="18"/>
                <w:szCs w:val="18"/>
                <w:lang w:val="en-US" w:eastAsia="zh-CN" w:bidi="ar"/>
              </w:rPr>
              <w:t>靠背可倾斜</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top"/>
          </w:tcPr>
          <w:p w14:paraId="54238C77">
            <w:pPr>
              <w:keepNext w:val="0"/>
              <w:keepLines w:val="0"/>
              <w:widowControl w:val="0"/>
              <w:suppressLineNumbers w:val="0"/>
              <w:adjustRightInd/>
              <w:spacing w:before="0" w:beforeAutospacing="0" w:after="0" w:afterAutospacing="0" w:line="240" w:lineRule="auto"/>
              <w:ind w:left="0" w:leftChars="0" w:right="0" w:rightChars="0"/>
              <w:jc w:val="center"/>
              <w:rPr>
                <w:rFonts w:hint="eastAsia" w:ascii="宋体" w:hAnsi="宋体" w:eastAsia="宋体" w:cs="宋体"/>
                <w:kern w:val="2"/>
                <w:sz w:val="18"/>
                <w:szCs w:val="18"/>
                <w:lang w:val="en-US" w:eastAsia="zh-CN" w:bidi="ar"/>
              </w:rPr>
            </w:pPr>
            <w:r>
              <w:rPr>
                <w:rFonts w:hint="eastAsia" w:ascii="宋体" w:hAnsi="宋体" w:eastAsia="宋体" w:cs="Times New Roman"/>
                <w:kern w:val="2"/>
                <w:sz w:val="18"/>
                <w:szCs w:val="18"/>
                <w:lang w:val="en-US" w:eastAsia="zh-CN" w:bidi="ar"/>
              </w:rPr>
              <w:t>加载盘：11个</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top"/>
          </w:tcPr>
          <w:p w14:paraId="232468A4">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top"/>
          </w:tcPr>
          <w:p w14:paraId="7F30D615">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316C4EDE">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236C322C">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top"/>
          </w:tcPr>
          <w:p w14:paraId="04C9B9C6">
            <w:pPr>
              <w:pStyle w:val="1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eastAsia="zh-CN"/>
              </w:rPr>
            </w:pPr>
            <w:r>
              <w:rPr>
                <w:rFonts w:hint="default" w:hAnsi="宋体" w:cs="宋体"/>
                <w:sz w:val="18"/>
                <w:szCs w:val="18"/>
                <w:highlight w:val="none"/>
                <w:lang w:eastAsia="zh-CN"/>
              </w:rPr>
              <w:t>-</w:t>
            </w:r>
          </w:p>
        </w:tc>
      </w:tr>
    </w:tbl>
    <w:p w14:paraId="4C290E3E">
      <w:r>
        <w:rPr>
          <w:rFonts w:ascii="Times New Roman" w:hAnsi="Times New Roman" w:eastAsia="宋体" w:cs="Times New Roman"/>
          <w:szCs w:val="21"/>
        </w:rPr>
        <w:drawing>
          <wp:inline distT="0" distB="0" distL="114300" distR="114300">
            <wp:extent cx="1099820" cy="1135380"/>
            <wp:effectExtent l="0" t="0" r="0" b="0"/>
            <wp:docPr id="2" name="图片 1" descr="2455e8976629104caeab81e01d27d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2455e8976629104caeab81e01d27d77"/>
                    <pic:cNvPicPr>
                      <a:picLocks noChangeAspect="1"/>
                    </pic:cNvPicPr>
                  </pic:nvPicPr>
                  <pic:blipFill>
                    <a:blip r:embed="rId6"/>
                    <a:srcRect l="12872" r="16578" b="3089"/>
                    <a:stretch>
                      <a:fillRect/>
                    </a:stretch>
                  </pic:blipFill>
                  <pic:spPr>
                    <a:xfrm>
                      <a:off x="0" y="0"/>
                      <a:ext cx="1099820" cy="1135380"/>
                    </a:xfrm>
                    <a:prstGeom prst="rect">
                      <a:avLst/>
                    </a:prstGeom>
                    <a:noFill/>
                    <a:ln>
                      <a:noFill/>
                    </a:ln>
                  </pic:spPr>
                </pic:pic>
              </a:graphicData>
            </a:graphic>
          </wp:inline>
        </w:drawing>
      </w:r>
      <w:r>
        <w:rPr>
          <w:rFonts w:ascii="Times New Roman" w:hAnsi="Times New Roman" w:eastAsia="宋体" w:cs="Times New Roman"/>
          <w:szCs w:val="21"/>
        </w:rPr>
        <w:drawing>
          <wp:inline distT="0" distB="0" distL="114300" distR="114300">
            <wp:extent cx="1346835" cy="1127125"/>
            <wp:effectExtent l="0" t="0" r="5715" b="15875"/>
            <wp:docPr id="3" name="图片 20" descr="2209abf17b27bf1b24da1ac2cee4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descr="2209abf17b27bf1b24da1ac2cee4673"/>
                    <pic:cNvPicPr>
                      <a:picLocks noChangeAspect="1"/>
                    </pic:cNvPicPr>
                  </pic:nvPicPr>
                  <pic:blipFill>
                    <a:blip r:embed="rId7"/>
                    <a:srcRect l="16192" r="16589"/>
                    <a:stretch>
                      <a:fillRect/>
                    </a:stretch>
                  </pic:blipFill>
                  <pic:spPr>
                    <a:xfrm>
                      <a:off x="0" y="0"/>
                      <a:ext cx="1346835" cy="1127125"/>
                    </a:xfrm>
                    <a:prstGeom prst="rect">
                      <a:avLst/>
                    </a:prstGeom>
                    <a:noFill/>
                    <a:ln>
                      <a:noFill/>
                    </a:ln>
                  </pic:spPr>
                </pic:pic>
              </a:graphicData>
            </a:graphic>
          </wp:inline>
        </w:drawing>
      </w:r>
      <w:r>
        <w:rPr>
          <w:szCs w:val="21"/>
        </w:rPr>
        <w:drawing>
          <wp:inline distT="0" distB="0" distL="114300" distR="114300">
            <wp:extent cx="1332865" cy="750570"/>
            <wp:effectExtent l="0" t="0" r="11430" b="635"/>
            <wp:docPr id="13" name="图片 2" descr="IMG_5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descr="IMG_5315"/>
                    <pic:cNvPicPr>
                      <a:picLocks noChangeAspect="1"/>
                    </pic:cNvPicPr>
                  </pic:nvPicPr>
                  <pic:blipFill>
                    <a:blip r:embed="rId8"/>
                    <a:stretch>
                      <a:fillRect/>
                    </a:stretch>
                  </pic:blipFill>
                  <pic:spPr>
                    <a:xfrm rot="5400000">
                      <a:off x="0" y="0"/>
                      <a:ext cx="1332865" cy="750570"/>
                    </a:xfrm>
                    <a:prstGeom prst="rect">
                      <a:avLst/>
                    </a:prstGeom>
                    <a:noFill/>
                    <a:ln>
                      <a:noFill/>
                    </a:ln>
                  </pic:spPr>
                </pic:pic>
              </a:graphicData>
            </a:graphic>
          </wp:inline>
        </w:drawing>
      </w:r>
      <w:r>
        <w:rPr>
          <w:rFonts w:ascii="Times New Roman" w:hAnsi="Times New Roman" w:eastAsia="宋体" w:cs="Times New Roman"/>
          <w:szCs w:val="21"/>
        </w:rPr>
        <w:drawing>
          <wp:inline distT="0" distB="0" distL="114300" distR="114300">
            <wp:extent cx="1298575" cy="1085215"/>
            <wp:effectExtent l="0" t="0" r="15875" b="635"/>
            <wp:docPr id="15" name="图片 23" descr="IMG_5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3" descr="IMG_5322"/>
                    <pic:cNvPicPr>
                      <a:picLocks noChangeAspect="1"/>
                    </pic:cNvPicPr>
                  </pic:nvPicPr>
                  <pic:blipFill>
                    <a:blip r:embed="rId9"/>
                    <a:srcRect r="32911"/>
                    <a:stretch>
                      <a:fillRect/>
                    </a:stretch>
                  </pic:blipFill>
                  <pic:spPr>
                    <a:xfrm>
                      <a:off x="0" y="0"/>
                      <a:ext cx="1298575" cy="1085215"/>
                    </a:xfrm>
                    <a:prstGeom prst="rect">
                      <a:avLst/>
                    </a:prstGeom>
                    <a:noFill/>
                    <a:ln>
                      <a:noFill/>
                    </a:ln>
                  </pic:spPr>
                </pic:pic>
              </a:graphicData>
            </a:graphic>
          </wp:inline>
        </w:drawing>
      </w:r>
      <w:r>
        <w:rPr>
          <w:rFonts w:ascii="Times New Roman" w:hAnsi="Times New Roman" w:eastAsia="宋体" w:cs="Times New Roman"/>
          <w:szCs w:val="21"/>
        </w:rPr>
        <w:drawing>
          <wp:inline distT="0" distB="0" distL="114300" distR="114300">
            <wp:extent cx="1165860" cy="1014730"/>
            <wp:effectExtent l="0" t="0" r="15240" b="13970"/>
            <wp:docPr id="16" name="图片 31" descr="b5c77a0e7ab02f8990df3d8c7534e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1" descr="b5c77a0e7ab02f8990df3d8c7534ee7"/>
                    <pic:cNvPicPr>
                      <a:picLocks noChangeAspect="1"/>
                    </pic:cNvPicPr>
                  </pic:nvPicPr>
                  <pic:blipFill>
                    <a:blip r:embed="rId10"/>
                    <a:srcRect l="13666"/>
                    <a:stretch>
                      <a:fillRect/>
                    </a:stretch>
                  </pic:blipFill>
                  <pic:spPr>
                    <a:xfrm>
                      <a:off x="0" y="0"/>
                      <a:ext cx="1165860" cy="1014730"/>
                    </a:xfrm>
                    <a:prstGeom prst="rect">
                      <a:avLst/>
                    </a:prstGeom>
                    <a:noFill/>
                    <a:ln>
                      <a:noFill/>
                    </a:ln>
                  </pic:spPr>
                </pic:pic>
              </a:graphicData>
            </a:graphic>
          </wp:inline>
        </w:drawing>
      </w:r>
    </w:p>
    <w:p w14:paraId="25D48B8F"/>
    <w:tbl>
      <w:tblPr>
        <w:tblStyle w:val="8"/>
        <w:tblW w:w="969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56"/>
        <w:gridCol w:w="2137"/>
        <w:gridCol w:w="1256"/>
        <w:gridCol w:w="1291"/>
        <w:gridCol w:w="1050"/>
        <w:gridCol w:w="1050"/>
        <w:gridCol w:w="1050"/>
      </w:tblGrid>
      <w:tr w14:paraId="7B0B78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39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E57AFF">
            <w:pPr>
              <w:keepNext w:val="0"/>
              <w:keepLines w:val="0"/>
              <w:suppressLineNumbers w:val="0"/>
              <w:autoSpaceDE w:val="0"/>
              <w:autoSpaceDN w:val="0"/>
              <w:spacing w:before="0" w:beforeAutospacing="0" w:after="0" w:afterAutospacing="0"/>
              <w:ind w:left="0" w:right="0" w:firstLine="0" w:firstLineChars="0"/>
              <w:jc w:val="both"/>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学习椅项目</w:t>
            </w:r>
          </w:p>
        </w:tc>
        <w:tc>
          <w:tcPr>
            <w:tcW w:w="1256" w:type="dxa"/>
            <w:tcBorders>
              <w:top w:val="single" w:color="auto" w:sz="4" w:space="0"/>
              <w:left w:val="single" w:color="auto" w:sz="4" w:space="0"/>
              <w:bottom w:val="single" w:color="auto" w:sz="4" w:space="0"/>
              <w:right w:val="single" w:color="auto" w:sz="4" w:space="0"/>
            </w:tcBorders>
            <w:shd w:val="clear" w:color="auto" w:fill="auto"/>
          </w:tcPr>
          <w:p w14:paraId="66D6EA00">
            <w:pPr>
              <w:keepNext w:val="0"/>
              <w:keepLines w:val="0"/>
              <w:suppressLineNumbers w:val="0"/>
              <w:autoSpaceDE w:val="0"/>
              <w:autoSpaceDN w:val="0"/>
              <w:spacing w:before="0" w:beforeAutospacing="0" w:after="0" w:afterAutospacing="0"/>
              <w:ind w:left="0" w:right="0" w:firstLine="0" w:firstLineChars="0"/>
              <w:jc w:val="both"/>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样品1</w:t>
            </w:r>
          </w:p>
        </w:tc>
        <w:tc>
          <w:tcPr>
            <w:tcW w:w="1291" w:type="dxa"/>
            <w:tcBorders>
              <w:top w:val="single" w:color="auto" w:sz="4" w:space="0"/>
              <w:left w:val="single" w:color="auto" w:sz="4" w:space="0"/>
              <w:bottom w:val="single" w:color="auto" w:sz="4" w:space="0"/>
              <w:right w:val="single" w:color="auto" w:sz="4" w:space="0"/>
            </w:tcBorders>
            <w:shd w:val="clear" w:color="auto" w:fill="auto"/>
          </w:tcPr>
          <w:p w14:paraId="6AE24E8D">
            <w:pPr>
              <w:keepNext w:val="0"/>
              <w:keepLines w:val="0"/>
              <w:suppressLineNumbers w:val="0"/>
              <w:autoSpaceDE w:val="0"/>
              <w:autoSpaceDN w:val="0"/>
              <w:spacing w:before="0" w:beforeAutospacing="0" w:after="0" w:afterAutospacing="0"/>
              <w:ind w:left="0" w:right="0" w:firstLine="0" w:firstLineChars="0"/>
              <w:jc w:val="both"/>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样品2</w:t>
            </w:r>
          </w:p>
        </w:tc>
        <w:tc>
          <w:tcPr>
            <w:tcW w:w="1050" w:type="dxa"/>
            <w:tcBorders>
              <w:top w:val="single" w:color="auto" w:sz="4" w:space="0"/>
              <w:left w:val="single" w:color="auto" w:sz="4" w:space="0"/>
              <w:bottom w:val="single" w:color="auto" w:sz="4" w:space="0"/>
              <w:right w:val="single" w:color="auto" w:sz="4" w:space="0"/>
            </w:tcBorders>
            <w:shd w:val="clear" w:color="auto" w:fill="auto"/>
          </w:tcPr>
          <w:p w14:paraId="6EA4DCA4">
            <w:pPr>
              <w:keepNext w:val="0"/>
              <w:keepLines w:val="0"/>
              <w:suppressLineNumbers w:val="0"/>
              <w:autoSpaceDE w:val="0"/>
              <w:autoSpaceDN w:val="0"/>
              <w:spacing w:before="0" w:beforeAutospacing="0" w:after="0" w:afterAutospacing="0"/>
              <w:ind w:left="0" w:right="0" w:firstLine="0" w:firstLineChars="0"/>
              <w:jc w:val="both"/>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样品3</w:t>
            </w:r>
          </w:p>
        </w:tc>
        <w:tc>
          <w:tcPr>
            <w:tcW w:w="1050" w:type="dxa"/>
            <w:tcBorders>
              <w:top w:val="single" w:color="auto" w:sz="4" w:space="0"/>
              <w:left w:val="single" w:color="auto" w:sz="4" w:space="0"/>
              <w:bottom w:val="single" w:color="auto" w:sz="4" w:space="0"/>
              <w:right w:val="single" w:color="auto" w:sz="4" w:space="0"/>
            </w:tcBorders>
            <w:shd w:val="clear" w:color="auto" w:fill="auto"/>
          </w:tcPr>
          <w:p w14:paraId="171F0532">
            <w:pPr>
              <w:keepNext w:val="0"/>
              <w:keepLines w:val="0"/>
              <w:suppressLineNumbers w:val="0"/>
              <w:autoSpaceDE w:val="0"/>
              <w:autoSpaceDN w:val="0"/>
              <w:spacing w:before="0" w:beforeAutospacing="0" w:after="0" w:afterAutospacing="0"/>
              <w:ind w:left="0" w:right="0" w:firstLine="0" w:firstLineChars="0"/>
              <w:jc w:val="both"/>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样品4</w:t>
            </w:r>
          </w:p>
        </w:tc>
        <w:tc>
          <w:tcPr>
            <w:tcW w:w="1050" w:type="dxa"/>
            <w:tcBorders>
              <w:top w:val="single" w:color="auto" w:sz="4" w:space="0"/>
              <w:left w:val="single" w:color="auto" w:sz="4" w:space="0"/>
              <w:bottom w:val="single" w:color="auto" w:sz="4" w:space="0"/>
              <w:right w:val="single" w:color="auto" w:sz="4" w:space="0"/>
            </w:tcBorders>
            <w:shd w:val="clear" w:color="auto" w:fill="auto"/>
          </w:tcPr>
          <w:p w14:paraId="5771B495">
            <w:pPr>
              <w:keepNext w:val="0"/>
              <w:keepLines w:val="0"/>
              <w:suppressLineNumbers w:val="0"/>
              <w:autoSpaceDE w:val="0"/>
              <w:autoSpaceDN w:val="0"/>
              <w:spacing w:before="0" w:beforeAutospacing="0" w:after="0" w:afterAutospacing="0"/>
              <w:ind w:left="0" w:right="0" w:firstLine="0" w:firstLineChars="0"/>
              <w:jc w:val="both"/>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样品5</w:t>
            </w:r>
          </w:p>
        </w:tc>
      </w:tr>
      <w:tr w14:paraId="0B1FC6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856" w:type="dxa"/>
            <w:tcBorders>
              <w:top w:val="single" w:color="auto" w:sz="4" w:space="0"/>
              <w:left w:val="single" w:color="auto" w:sz="4" w:space="0"/>
              <w:bottom w:val="single" w:color="auto" w:sz="4" w:space="0"/>
              <w:right w:val="single" w:color="auto" w:sz="4" w:space="0"/>
            </w:tcBorders>
            <w:shd w:val="clear" w:color="auto" w:fill="auto"/>
            <w:vAlign w:val="center"/>
          </w:tcPr>
          <w:p w14:paraId="2B700DA4">
            <w:pPr>
              <w:keepNext w:val="0"/>
              <w:keepLines w:val="0"/>
              <w:suppressLineNumbers w:val="0"/>
              <w:spacing w:before="0" w:beforeAutospacing="0" w:after="0" w:afterAutospacing="0"/>
              <w:ind w:left="0" w:right="0"/>
              <w:jc w:val="center"/>
              <w:rPr>
                <w:rFonts w:hint="default" w:ascii="宋体" w:hAnsi="宋体" w:eastAsia="宋体" w:cs="宋体"/>
                <w:kern w:val="0"/>
                <w:sz w:val="18"/>
                <w:szCs w:val="18"/>
              </w:rPr>
            </w:pPr>
            <w:r>
              <w:rPr>
                <w:rFonts w:hint="eastAsia" w:ascii="宋体" w:hAnsi="宋体" w:eastAsia="宋体" w:cs="宋体"/>
                <w:kern w:val="0"/>
                <w:sz w:val="18"/>
                <w:szCs w:val="18"/>
              </w:rPr>
              <w:t>脚踏板垂直稳定性</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center"/>
          </w:tcPr>
          <w:p w14:paraId="1F8D7682">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垂直加载力：750N</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14:paraId="7D17C9A7">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符合</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14:paraId="72A3987D">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发生倾翻</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01F20047">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发生倾翻</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7AAC21D9">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7C11FD00">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符合</w:t>
            </w:r>
          </w:p>
        </w:tc>
      </w:tr>
      <w:tr w14:paraId="341354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1856" w:type="dxa"/>
            <w:tcBorders>
              <w:top w:val="single" w:color="auto" w:sz="4" w:space="0"/>
              <w:left w:val="single" w:color="auto" w:sz="4" w:space="0"/>
              <w:bottom w:val="single" w:color="auto" w:sz="4" w:space="0"/>
              <w:right w:val="single" w:color="auto" w:sz="4" w:space="0"/>
            </w:tcBorders>
            <w:shd w:val="clear" w:color="auto" w:fill="auto"/>
            <w:vAlign w:val="center"/>
          </w:tcPr>
          <w:p w14:paraId="0FB08B7F">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脚踏板垂直静载荷</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center"/>
          </w:tcPr>
          <w:p w14:paraId="4560D59C">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垂直加载力：1000N</w:t>
            </w:r>
          </w:p>
          <w:p w14:paraId="6C493D5E">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加载次数：10次</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14:paraId="4FFF8FF0">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符合</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14:paraId="0E181BE1">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3D48D5B2">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6E3BBC79">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02D3BEA0">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符合</w:t>
            </w:r>
          </w:p>
        </w:tc>
      </w:tr>
      <w:tr w14:paraId="752BD4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7" w:hRule="atLeast"/>
          <w:jc w:val="center"/>
        </w:trPr>
        <w:tc>
          <w:tcPr>
            <w:tcW w:w="1856" w:type="dxa"/>
            <w:tcBorders>
              <w:top w:val="single" w:color="auto" w:sz="4" w:space="0"/>
              <w:left w:val="single" w:color="auto" w:sz="4" w:space="0"/>
              <w:bottom w:val="single" w:color="auto" w:sz="4" w:space="0"/>
              <w:right w:val="single" w:color="auto" w:sz="4" w:space="0"/>
            </w:tcBorders>
            <w:shd w:val="clear" w:color="auto" w:fill="auto"/>
            <w:vAlign w:val="center"/>
          </w:tcPr>
          <w:p w14:paraId="52463D26">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bookmarkStart w:id="0" w:name="_Hlk223597183"/>
            <w:r>
              <w:rPr>
                <w:rFonts w:hint="eastAsia" w:ascii="宋体" w:hAnsi="宋体" w:eastAsia="宋体" w:cs="宋体"/>
                <w:sz w:val="18"/>
                <w:szCs w:val="18"/>
                <w:lang w:val="en-US" w:eastAsia="zh-CN" w:bidi="ar-SA"/>
              </w:rPr>
              <w:t>脚踏板的垂直耐久</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center"/>
          </w:tcPr>
          <w:p w14:paraId="049DA8CA">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垂直加载力：1000N</w:t>
            </w:r>
          </w:p>
          <w:p w14:paraId="63196167">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加载次数：10000次</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14:paraId="0B1B2E3A">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符合</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14:paraId="78EC9DDD">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01DD1DE7">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bookmarkStart w:id="1" w:name="OLE_LINK5"/>
            <w:r>
              <w:rPr>
                <w:rFonts w:hint="eastAsia" w:ascii="宋体" w:hAnsi="宋体" w:eastAsia="宋体" w:cs="宋体"/>
                <w:sz w:val="18"/>
                <w:szCs w:val="18"/>
                <w:lang w:val="en-US" w:eastAsia="zh-CN" w:bidi="ar-SA"/>
              </w:rPr>
              <w:t>符合</w:t>
            </w:r>
            <w:bookmarkEnd w:id="1"/>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371CDAD0">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36F89340">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符合</w:t>
            </w:r>
          </w:p>
        </w:tc>
      </w:tr>
      <w:bookmarkEnd w:id="0"/>
      <w:tr w14:paraId="36F7CB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79" w:hRule="atLeast"/>
          <w:jc w:val="center"/>
        </w:trPr>
        <w:tc>
          <w:tcPr>
            <w:tcW w:w="1856" w:type="dxa"/>
            <w:tcBorders>
              <w:top w:val="single" w:color="auto" w:sz="4" w:space="0"/>
              <w:left w:val="single" w:color="auto" w:sz="4" w:space="0"/>
              <w:bottom w:val="single" w:color="auto" w:sz="4" w:space="0"/>
              <w:right w:val="single" w:color="auto" w:sz="4" w:space="0"/>
            </w:tcBorders>
            <w:shd w:val="clear" w:color="auto" w:fill="auto"/>
            <w:vAlign w:val="center"/>
          </w:tcPr>
          <w:p w14:paraId="5818903A">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后背可倾斜的座椅后向稳定性</w:t>
            </w:r>
          </w:p>
        </w:tc>
        <w:tc>
          <w:tcPr>
            <w:tcW w:w="2137" w:type="dxa"/>
            <w:tcBorders>
              <w:top w:val="single" w:color="auto" w:sz="4" w:space="0"/>
              <w:left w:val="single" w:color="auto" w:sz="4" w:space="0"/>
              <w:bottom w:val="single" w:color="auto" w:sz="4" w:space="0"/>
              <w:right w:val="single" w:color="auto" w:sz="4" w:space="0"/>
            </w:tcBorders>
            <w:shd w:val="clear" w:color="auto" w:fill="auto"/>
            <w:vAlign w:val="center"/>
          </w:tcPr>
          <w:p w14:paraId="4BF1A7FF">
            <w:pPr>
              <w:keepNext w:val="0"/>
              <w:keepLines w:val="0"/>
              <w:widowControl/>
              <w:suppressLineNumbers w:val="0"/>
              <w:spacing w:before="0" w:beforeAutospacing="0" w:after="0" w:afterAutospacing="0"/>
              <w:ind w:left="0" w:right="0"/>
              <w:jc w:val="center"/>
              <w:rPr>
                <w:rFonts w:hint="default" w:ascii="宋体" w:hAnsi="宋体" w:eastAsia="宋体" w:cs="宋体"/>
                <w:kern w:val="0"/>
                <w:sz w:val="18"/>
                <w:szCs w:val="18"/>
              </w:rPr>
            </w:pPr>
            <w:r>
              <w:rPr>
                <w:rFonts w:hint="eastAsia" w:ascii="宋体" w:hAnsi="宋体" w:eastAsia="宋体" w:cs="宋体"/>
                <w:kern w:val="0"/>
                <w:sz w:val="18"/>
                <w:szCs w:val="18"/>
              </w:rPr>
              <w:t>标号5</w:t>
            </w:r>
          </w:p>
          <w:p w14:paraId="2FC20C29">
            <w:pPr>
              <w:keepNext w:val="0"/>
              <w:keepLines w:val="0"/>
              <w:widowControl/>
              <w:suppressLineNumbers w:val="0"/>
              <w:spacing w:before="0" w:beforeAutospacing="0" w:after="0" w:afterAutospacing="0"/>
              <w:ind w:left="0" w:right="0"/>
              <w:jc w:val="center"/>
              <w:rPr>
                <w:rFonts w:hint="default" w:ascii="宋体" w:hAnsi="宋体" w:eastAsia="宋体" w:cs="宋体"/>
                <w:kern w:val="0"/>
                <w:sz w:val="18"/>
                <w:szCs w:val="18"/>
              </w:rPr>
            </w:pPr>
            <w:r>
              <w:rPr>
                <w:rFonts w:hint="eastAsia" w:ascii="宋体" w:hAnsi="宋体" w:eastAsia="宋体" w:cs="宋体"/>
                <w:kern w:val="0"/>
                <w:sz w:val="18"/>
                <w:szCs w:val="18"/>
              </w:rPr>
              <w:t>加载盘：10kg×13</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14:paraId="5086CFCA">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符合</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14:paraId="25E68A2B">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234D19CE">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7AF47099">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符合</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5B7679CA">
            <w:pPr>
              <w:keepNext w:val="0"/>
              <w:keepLines w:val="0"/>
              <w:suppressLineNumbers w:val="0"/>
              <w:autoSpaceDE w:val="0"/>
              <w:autoSpaceDN w:val="0"/>
              <w:spacing w:before="0" w:beforeAutospacing="0" w:after="0" w:afterAutospacing="0"/>
              <w:ind w:left="0" w:right="0" w:firstLine="0" w:firstLineChars="0"/>
              <w:jc w:val="center"/>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符合</w:t>
            </w:r>
          </w:p>
        </w:tc>
      </w:tr>
    </w:tbl>
    <w:p w14:paraId="3720B236">
      <w:pPr>
        <w:numPr>
          <w:ilvl w:val="0"/>
          <w:numId w:val="0"/>
        </w:numPr>
        <w:spacing w:line="440" w:lineRule="exact"/>
        <w:ind w:leftChars="200"/>
        <w:rPr>
          <w:rFonts w:hint="eastAsia" w:ascii="黑体" w:hAnsi="宋体" w:eastAsia="黑体"/>
          <w:color w:val="000000"/>
          <w:sz w:val="24"/>
          <w:lang w:val="en-US" w:eastAsia="zh-CN"/>
        </w:rPr>
      </w:pPr>
    </w:p>
    <w:tbl>
      <w:tblPr>
        <w:tblStyle w:val="8"/>
        <w:tblW w:w="98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245"/>
        <w:gridCol w:w="2383"/>
        <w:gridCol w:w="1438"/>
        <w:gridCol w:w="1258"/>
        <w:gridCol w:w="1258"/>
        <w:gridCol w:w="1258"/>
      </w:tblGrid>
      <w:tr w14:paraId="4371FA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28" w:type="dxa"/>
            <w:gridSpan w:val="2"/>
            <w:tcBorders>
              <w:top w:val="single" w:color="auto" w:sz="8" w:space="0"/>
              <w:left w:val="single" w:color="auto" w:sz="4" w:space="0"/>
              <w:bottom w:val="single" w:color="auto" w:sz="8" w:space="0"/>
              <w:right w:val="single" w:color="auto" w:sz="4" w:space="0"/>
            </w:tcBorders>
            <w:shd w:val="clear" w:color="auto" w:fill="auto"/>
            <w:vAlign w:val="center"/>
          </w:tcPr>
          <w:p w14:paraId="6D98F62A">
            <w:pPr>
              <w:keepNext w:val="0"/>
              <w:keepLines w:val="0"/>
              <w:widowControl w:val="0"/>
              <w:suppressLineNumbers w:val="0"/>
              <w:adjustRightInd w:val="0"/>
              <w:spacing w:before="0" w:beforeAutospacing="0" w:after="0" w:afterAutospacing="0" w:line="400" w:lineRule="exact"/>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学习桌检验项目</w:t>
            </w:r>
          </w:p>
        </w:tc>
        <w:tc>
          <w:tcPr>
            <w:tcW w:w="1438" w:type="dxa"/>
            <w:tcBorders>
              <w:top w:val="single" w:color="auto" w:sz="8" w:space="0"/>
              <w:left w:val="single" w:color="auto" w:sz="4" w:space="0"/>
              <w:bottom w:val="single" w:color="auto" w:sz="8" w:space="0"/>
              <w:right w:val="single" w:color="auto" w:sz="4" w:space="0"/>
            </w:tcBorders>
            <w:shd w:val="clear" w:color="auto" w:fill="auto"/>
            <w:vAlign w:val="center"/>
          </w:tcPr>
          <w:p w14:paraId="6ADDCD0E">
            <w:pPr>
              <w:keepNext w:val="0"/>
              <w:keepLines w:val="0"/>
              <w:widowControl w:val="0"/>
              <w:suppressLineNumbers w:val="0"/>
              <w:adjustRightInd w:val="0"/>
              <w:spacing w:before="0" w:beforeAutospacing="0" w:after="0" w:afterAutospacing="0" w:line="400" w:lineRule="exact"/>
              <w:ind w:left="0" w:right="0"/>
              <w:jc w:val="left"/>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1</w:t>
            </w:r>
          </w:p>
        </w:tc>
        <w:tc>
          <w:tcPr>
            <w:tcW w:w="1258" w:type="dxa"/>
            <w:tcBorders>
              <w:top w:val="single" w:color="auto" w:sz="8" w:space="0"/>
              <w:left w:val="single" w:color="auto" w:sz="4" w:space="0"/>
              <w:bottom w:val="single" w:color="auto" w:sz="8" w:space="0"/>
              <w:right w:val="single" w:color="auto" w:sz="4" w:space="0"/>
            </w:tcBorders>
            <w:shd w:val="clear" w:color="auto" w:fill="auto"/>
            <w:vAlign w:val="center"/>
          </w:tcPr>
          <w:p w14:paraId="1F7E4D07">
            <w:pPr>
              <w:keepNext w:val="0"/>
              <w:keepLines w:val="0"/>
              <w:widowControl w:val="0"/>
              <w:suppressLineNumbers w:val="0"/>
              <w:adjustRightInd w:val="0"/>
              <w:spacing w:before="0" w:beforeAutospacing="0" w:after="0" w:afterAutospacing="0" w:line="400" w:lineRule="exact"/>
              <w:ind w:left="0" w:right="0"/>
              <w:jc w:val="left"/>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2</w:t>
            </w:r>
          </w:p>
        </w:tc>
        <w:tc>
          <w:tcPr>
            <w:tcW w:w="1258" w:type="dxa"/>
            <w:tcBorders>
              <w:top w:val="single" w:color="auto" w:sz="8" w:space="0"/>
              <w:left w:val="single" w:color="auto" w:sz="4" w:space="0"/>
              <w:bottom w:val="single" w:color="auto" w:sz="8" w:space="0"/>
              <w:right w:val="single" w:color="auto" w:sz="4" w:space="0"/>
            </w:tcBorders>
            <w:shd w:val="clear" w:color="auto" w:fill="auto"/>
            <w:vAlign w:val="center"/>
          </w:tcPr>
          <w:p w14:paraId="43B680C3">
            <w:pPr>
              <w:keepNext w:val="0"/>
              <w:keepLines w:val="0"/>
              <w:widowControl w:val="0"/>
              <w:suppressLineNumbers w:val="0"/>
              <w:adjustRightInd w:val="0"/>
              <w:spacing w:before="0" w:beforeAutospacing="0" w:after="0" w:afterAutospacing="0" w:line="400" w:lineRule="exact"/>
              <w:ind w:left="0" w:right="0"/>
              <w:jc w:val="left"/>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3</w:t>
            </w:r>
          </w:p>
        </w:tc>
        <w:tc>
          <w:tcPr>
            <w:tcW w:w="1258" w:type="dxa"/>
            <w:tcBorders>
              <w:top w:val="single" w:color="auto" w:sz="8" w:space="0"/>
              <w:left w:val="single" w:color="auto" w:sz="4" w:space="0"/>
              <w:bottom w:val="single" w:color="auto" w:sz="8" w:space="0"/>
              <w:right w:val="single" w:color="auto" w:sz="4" w:space="0"/>
            </w:tcBorders>
            <w:shd w:val="clear" w:color="auto" w:fill="auto"/>
            <w:vAlign w:val="center"/>
          </w:tcPr>
          <w:p w14:paraId="4CB2ABD5">
            <w:pPr>
              <w:keepNext w:val="0"/>
              <w:keepLines w:val="0"/>
              <w:widowControl w:val="0"/>
              <w:suppressLineNumbers w:val="0"/>
              <w:adjustRightInd w:val="0"/>
              <w:spacing w:before="0" w:beforeAutospacing="0" w:after="0" w:afterAutospacing="0" w:line="400" w:lineRule="exact"/>
              <w:ind w:left="0" w:right="0"/>
              <w:jc w:val="left"/>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4</w:t>
            </w:r>
          </w:p>
        </w:tc>
      </w:tr>
      <w:tr w14:paraId="696E50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shd w:val="clear" w:color="auto" w:fill="auto"/>
            <w:vAlign w:val="center"/>
          </w:tcPr>
          <w:p w14:paraId="4386B5A2">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垂直加载稳定性</w:t>
            </w:r>
          </w:p>
        </w:tc>
        <w:tc>
          <w:tcPr>
            <w:tcW w:w="2383" w:type="dxa"/>
            <w:tcBorders>
              <w:top w:val="single" w:color="auto" w:sz="4" w:space="0"/>
              <w:left w:val="single" w:color="auto" w:sz="4" w:space="0"/>
              <w:bottom w:val="single" w:color="auto" w:sz="4" w:space="0"/>
              <w:right w:val="single" w:color="auto" w:sz="4" w:space="0"/>
            </w:tcBorders>
            <w:shd w:val="clear" w:color="auto" w:fill="auto"/>
            <w:vAlign w:val="center"/>
          </w:tcPr>
          <w:p w14:paraId="3E8C01C8">
            <w:pPr>
              <w:keepNext w:val="0"/>
              <w:keepLines w:val="0"/>
              <w:widowControl w:val="0"/>
              <w:suppressLineNumbers w:val="0"/>
              <w:adjustRightInd w:val="0"/>
              <w:spacing w:before="0" w:beforeAutospacing="0" w:after="0" w:afterAutospacing="0" w:line="400" w:lineRule="exact"/>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V</w:t>
            </w:r>
            <w:r>
              <w:rPr>
                <w:rFonts w:hint="eastAsia" w:ascii="宋体" w:hAnsi="宋体" w:eastAsia="宋体" w:cs="宋体"/>
                <w:kern w:val="2"/>
                <w:sz w:val="18"/>
                <w:szCs w:val="18"/>
                <w:vertAlign w:val="subscript"/>
                <w:lang w:val="en-US" w:eastAsia="zh-CN" w:bidi="ar"/>
              </w:rPr>
              <w:t>1</w:t>
            </w:r>
            <w:r>
              <w:rPr>
                <w:rFonts w:hint="eastAsia" w:ascii="宋体" w:hAnsi="宋体" w:eastAsia="宋体" w:cs="宋体"/>
                <w:kern w:val="2"/>
                <w:sz w:val="18"/>
                <w:szCs w:val="18"/>
                <w:lang w:val="en-US" w:eastAsia="zh-CN" w:bidi="ar"/>
              </w:rPr>
              <w:t>：20 kg</w:t>
            </w:r>
          </w:p>
          <w:p w14:paraId="42AB721C">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V</w:t>
            </w:r>
            <w:r>
              <w:rPr>
                <w:rFonts w:hint="eastAsia" w:ascii="宋体" w:hAnsi="宋体" w:eastAsia="宋体" w:cs="宋体"/>
                <w:kern w:val="2"/>
                <w:sz w:val="18"/>
                <w:szCs w:val="18"/>
                <w:vertAlign w:val="subscript"/>
                <w:lang w:val="en-US" w:eastAsia="zh-CN" w:bidi="ar"/>
              </w:rPr>
              <w:t>2</w:t>
            </w:r>
            <w:r>
              <w:rPr>
                <w:rFonts w:hint="eastAsia" w:ascii="宋体" w:hAnsi="宋体" w:eastAsia="宋体" w:cs="宋体"/>
                <w:kern w:val="2"/>
                <w:sz w:val="18"/>
                <w:szCs w:val="18"/>
                <w:lang w:val="en-US" w:eastAsia="zh-CN" w:bidi="ar"/>
              </w:rPr>
              <w:t>：40 kg</w:t>
            </w:r>
          </w:p>
        </w:tc>
        <w:tc>
          <w:tcPr>
            <w:tcW w:w="1438" w:type="dxa"/>
            <w:vMerge w:val="restart"/>
            <w:tcBorders>
              <w:top w:val="single" w:color="auto" w:sz="4" w:space="0"/>
              <w:left w:val="single" w:color="auto" w:sz="4" w:space="0"/>
              <w:right w:val="single" w:color="auto" w:sz="4" w:space="0"/>
            </w:tcBorders>
            <w:shd w:val="clear" w:color="auto" w:fill="auto"/>
            <w:vAlign w:val="center"/>
          </w:tcPr>
          <w:p w14:paraId="354AECD7">
            <w:pPr>
              <w:keepNext w:val="0"/>
              <w:keepLines w:val="0"/>
              <w:widowControl w:val="0"/>
              <w:suppressLineNumbers w:val="0"/>
              <w:adjustRightInd/>
              <w:spacing w:before="0" w:beforeAutospacing="0" w:after="0" w:afterAutospacing="0" w:line="240" w:lineRule="auto"/>
              <w:ind w:left="0" w:right="0"/>
              <w:jc w:val="center"/>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固定于墙体</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4C248846">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6E932B09">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3FB26A74">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r>
      <w:tr w14:paraId="459C81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shd w:val="clear" w:color="auto" w:fill="auto"/>
            <w:vAlign w:val="center"/>
          </w:tcPr>
          <w:p w14:paraId="36826790">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带有推拉构件的桌稳定性</w:t>
            </w:r>
          </w:p>
        </w:tc>
        <w:tc>
          <w:tcPr>
            <w:tcW w:w="2383" w:type="dxa"/>
            <w:tcBorders>
              <w:top w:val="single" w:color="auto" w:sz="4" w:space="0"/>
              <w:left w:val="single" w:color="auto" w:sz="4" w:space="0"/>
              <w:bottom w:val="single" w:color="auto" w:sz="4" w:space="0"/>
              <w:right w:val="single" w:color="auto" w:sz="4" w:space="0"/>
            </w:tcBorders>
            <w:shd w:val="clear" w:color="auto" w:fill="auto"/>
            <w:vAlign w:val="center"/>
          </w:tcPr>
          <w:p w14:paraId="01112696">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20 kg</w:t>
            </w:r>
          </w:p>
        </w:tc>
        <w:tc>
          <w:tcPr>
            <w:tcW w:w="1438" w:type="dxa"/>
            <w:vMerge w:val="continue"/>
            <w:tcBorders>
              <w:left w:val="single" w:color="auto" w:sz="4" w:space="0"/>
              <w:bottom w:val="single" w:color="auto" w:sz="4" w:space="0"/>
              <w:right w:val="single" w:color="auto" w:sz="4" w:space="0"/>
            </w:tcBorders>
            <w:shd w:val="clear" w:color="auto" w:fill="auto"/>
            <w:vAlign w:val="center"/>
          </w:tcPr>
          <w:p w14:paraId="6EF933F3">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7C884A69">
            <w:pPr>
              <w:keepNext w:val="0"/>
              <w:keepLines w:val="0"/>
              <w:widowControl w:val="0"/>
              <w:suppressLineNumbers w:val="0"/>
              <w:adjustRightInd/>
              <w:spacing w:before="0" w:beforeAutospacing="0" w:after="0" w:afterAutospacing="0" w:line="240" w:lineRule="auto"/>
              <w:ind w:left="0" w:right="0"/>
              <w:jc w:val="center"/>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0184EB7C">
            <w:pPr>
              <w:keepNext w:val="0"/>
              <w:keepLines w:val="0"/>
              <w:widowControl w:val="0"/>
              <w:suppressLineNumbers w:val="0"/>
              <w:adjustRightInd/>
              <w:spacing w:before="0" w:beforeAutospacing="0" w:after="0" w:afterAutospacing="0" w:line="240" w:lineRule="auto"/>
              <w:ind w:left="0" w:right="0"/>
              <w:jc w:val="center"/>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6E6FE917">
            <w:pPr>
              <w:keepNext w:val="0"/>
              <w:keepLines w:val="0"/>
              <w:widowControl w:val="0"/>
              <w:suppressLineNumbers w:val="0"/>
              <w:adjustRightInd/>
              <w:spacing w:before="0" w:beforeAutospacing="0" w:after="0" w:afterAutospacing="0" w:line="240" w:lineRule="auto"/>
              <w:ind w:left="0" w:right="0"/>
              <w:jc w:val="center"/>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w:t>
            </w:r>
          </w:p>
        </w:tc>
      </w:tr>
      <w:tr w14:paraId="374372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shd w:val="clear" w:color="auto" w:fill="auto"/>
            <w:vAlign w:val="center"/>
          </w:tcPr>
          <w:p w14:paraId="092FDA48">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带脚轮的桌水平加载稳定性</w:t>
            </w:r>
          </w:p>
        </w:tc>
        <w:tc>
          <w:tcPr>
            <w:tcW w:w="2383" w:type="dxa"/>
            <w:tcBorders>
              <w:top w:val="single" w:color="auto" w:sz="4" w:space="0"/>
              <w:left w:val="single" w:color="auto" w:sz="4" w:space="0"/>
              <w:bottom w:val="single" w:color="auto" w:sz="4" w:space="0"/>
              <w:right w:val="single" w:color="auto" w:sz="4" w:space="0"/>
            </w:tcBorders>
            <w:shd w:val="clear" w:color="auto" w:fill="auto"/>
            <w:vAlign w:val="center"/>
          </w:tcPr>
          <w:p w14:paraId="0F7EFBE2">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40N</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49C42CE2">
            <w:pPr>
              <w:keepNext w:val="0"/>
              <w:keepLines w:val="0"/>
              <w:widowControl w:val="0"/>
              <w:suppressLineNumbers w:val="0"/>
              <w:adjustRightInd/>
              <w:spacing w:before="0" w:beforeAutospacing="0" w:after="0" w:afterAutospacing="0" w:line="240" w:lineRule="auto"/>
              <w:ind w:left="0" w:right="0"/>
              <w:jc w:val="center"/>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5A111377">
            <w:pPr>
              <w:keepNext w:val="0"/>
              <w:keepLines w:val="0"/>
              <w:widowControl w:val="0"/>
              <w:suppressLineNumbers w:val="0"/>
              <w:adjustRightInd/>
              <w:spacing w:before="0" w:beforeAutospacing="0" w:after="0" w:afterAutospacing="0" w:line="240" w:lineRule="auto"/>
              <w:ind w:left="0" w:right="0"/>
              <w:jc w:val="center"/>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5551BCA6">
            <w:pPr>
              <w:keepNext w:val="0"/>
              <w:keepLines w:val="0"/>
              <w:widowControl w:val="0"/>
              <w:suppressLineNumbers w:val="0"/>
              <w:adjustRightInd/>
              <w:spacing w:before="0" w:beforeAutospacing="0" w:after="0" w:afterAutospacing="0" w:line="240" w:lineRule="auto"/>
              <w:ind w:left="0" w:right="0"/>
              <w:jc w:val="center"/>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4E3738FE">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p>
        </w:tc>
      </w:tr>
      <w:tr w14:paraId="326BF7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shd w:val="clear" w:color="auto" w:fill="auto"/>
            <w:vAlign w:val="center"/>
          </w:tcPr>
          <w:p w14:paraId="707CEEAE">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高桌台水平加载稳定性</w:t>
            </w:r>
          </w:p>
        </w:tc>
        <w:tc>
          <w:tcPr>
            <w:tcW w:w="2383" w:type="dxa"/>
            <w:tcBorders>
              <w:top w:val="single" w:color="auto" w:sz="4" w:space="0"/>
              <w:left w:val="single" w:color="auto" w:sz="4" w:space="0"/>
              <w:bottom w:val="single" w:color="auto" w:sz="4" w:space="0"/>
              <w:right w:val="single" w:color="auto" w:sz="4" w:space="0"/>
            </w:tcBorders>
            <w:shd w:val="clear" w:color="auto" w:fill="auto"/>
            <w:vAlign w:val="center"/>
          </w:tcPr>
          <w:p w14:paraId="027DC2E7">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200N</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46E146E9">
            <w:pPr>
              <w:keepNext w:val="0"/>
              <w:keepLines w:val="0"/>
              <w:widowControl w:val="0"/>
              <w:suppressLineNumbers w:val="0"/>
              <w:adjustRightInd/>
              <w:spacing w:before="0" w:beforeAutospacing="0" w:after="0" w:afterAutospacing="0" w:line="240" w:lineRule="auto"/>
              <w:ind w:left="0" w:right="0"/>
              <w:jc w:val="center"/>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259CF24F">
            <w:pPr>
              <w:keepNext w:val="0"/>
              <w:keepLines w:val="0"/>
              <w:widowControl w:val="0"/>
              <w:suppressLineNumbers w:val="0"/>
              <w:adjustRightInd/>
              <w:spacing w:before="0" w:beforeAutospacing="0" w:after="0" w:afterAutospacing="0" w:line="240" w:lineRule="auto"/>
              <w:ind w:left="0" w:right="0"/>
              <w:jc w:val="center"/>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4CE125F8">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7C5FB0F4">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p>
        </w:tc>
      </w:tr>
      <w:tr w14:paraId="3E0B13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shd w:val="clear" w:color="auto" w:fill="auto"/>
            <w:vAlign w:val="center"/>
          </w:tcPr>
          <w:p w14:paraId="54B0854A">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水平静载荷</w:t>
            </w:r>
          </w:p>
        </w:tc>
        <w:tc>
          <w:tcPr>
            <w:tcW w:w="2383" w:type="dxa"/>
            <w:tcBorders>
              <w:top w:val="single" w:color="auto" w:sz="4" w:space="0"/>
              <w:left w:val="single" w:color="auto" w:sz="4" w:space="0"/>
              <w:bottom w:val="single" w:color="auto" w:sz="4" w:space="0"/>
              <w:right w:val="single" w:color="auto" w:sz="4" w:space="0"/>
            </w:tcBorders>
            <w:shd w:val="clear" w:color="auto" w:fill="auto"/>
            <w:vAlign w:val="center"/>
          </w:tcPr>
          <w:p w14:paraId="71D37BD2">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400 N，10次</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56670343">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41E671E8">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64AB097E">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449D50C3">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r>
      <w:tr w14:paraId="47BB16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shd w:val="clear" w:color="auto" w:fill="auto"/>
            <w:vAlign w:val="center"/>
          </w:tcPr>
          <w:p w14:paraId="54CB3C8F">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主桌面垂直静载荷</w:t>
            </w:r>
          </w:p>
        </w:tc>
        <w:tc>
          <w:tcPr>
            <w:tcW w:w="2383" w:type="dxa"/>
            <w:tcBorders>
              <w:top w:val="single" w:color="auto" w:sz="4" w:space="0"/>
              <w:left w:val="single" w:color="auto" w:sz="4" w:space="0"/>
              <w:bottom w:val="single" w:color="auto" w:sz="4" w:space="0"/>
              <w:right w:val="single" w:color="auto" w:sz="4" w:space="0"/>
            </w:tcBorders>
            <w:shd w:val="clear" w:color="auto" w:fill="auto"/>
            <w:vAlign w:val="center"/>
          </w:tcPr>
          <w:p w14:paraId="70CEAB7E">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750 N，10次</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0DDC8797">
            <w:pPr>
              <w:keepNext w:val="0"/>
              <w:keepLines w:val="0"/>
              <w:widowControl w:val="0"/>
              <w:suppressLineNumbers w:val="0"/>
              <w:adjustRightInd/>
              <w:spacing w:before="0" w:beforeAutospacing="0" w:after="0" w:afterAutospacing="0" w:line="240" w:lineRule="auto"/>
              <w:ind w:left="0" w:right="0"/>
              <w:jc w:val="center"/>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4EB2E767">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1909D806">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42DF1FDB">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r>
      <w:tr w14:paraId="11D5F9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shd w:val="clear" w:color="auto" w:fill="auto"/>
            <w:vAlign w:val="center"/>
          </w:tcPr>
          <w:p w14:paraId="15351954">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副桌面垂直静载荷</w:t>
            </w:r>
          </w:p>
        </w:tc>
        <w:tc>
          <w:tcPr>
            <w:tcW w:w="2383" w:type="dxa"/>
            <w:tcBorders>
              <w:top w:val="single" w:color="auto" w:sz="4" w:space="0"/>
              <w:left w:val="single" w:color="auto" w:sz="4" w:space="0"/>
              <w:bottom w:val="single" w:color="auto" w:sz="4" w:space="0"/>
              <w:right w:val="single" w:color="auto" w:sz="4" w:space="0"/>
            </w:tcBorders>
            <w:shd w:val="clear" w:color="auto" w:fill="auto"/>
            <w:vAlign w:val="center"/>
          </w:tcPr>
          <w:p w14:paraId="0C71C2F1">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200 N，10次</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69894AA6">
            <w:pPr>
              <w:keepNext w:val="0"/>
              <w:keepLines w:val="0"/>
              <w:widowControl w:val="0"/>
              <w:suppressLineNumbers w:val="0"/>
              <w:adjustRightInd/>
              <w:spacing w:before="0" w:beforeAutospacing="0" w:after="0" w:afterAutospacing="0" w:line="240" w:lineRule="auto"/>
              <w:ind w:left="0" w:right="0"/>
              <w:jc w:val="center"/>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无</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6E6D4EFA">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无</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7E572F6E">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无</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7ECD08B9">
            <w:pPr>
              <w:keepNext w:val="0"/>
              <w:keepLines w:val="0"/>
              <w:widowControl w:val="0"/>
              <w:suppressLineNumbers w:val="0"/>
              <w:adjustRightInd/>
              <w:spacing w:before="0" w:beforeAutospacing="0" w:after="0" w:afterAutospacing="0" w:line="240" w:lineRule="auto"/>
              <w:ind w:left="0" w:right="0"/>
              <w:jc w:val="center"/>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无</w:t>
            </w:r>
          </w:p>
        </w:tc>
      </w:tr>
      <w:tr w14:paraId="51A1A4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shd w:val="clear" w:color="auto" w:fill="auto"/>
            <w:vAlign w:val="center"/>
          </w:tcPr>
          <w:p w14:paraId="36758563">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水平耐久性</w:t>
            </w:r>
          </w:p>
        </w:tc>
        <w:tc>
          <w:tcPr>
            <w:tcW w:w="2383" w:type="dxa"/>
            <w:tcBorders>
              <w:top w:val="single" w:color="auto" w:sz="4" w:space="0"/>
              <w:left w:val="single" w:color="auto" w:sz="4" w:space="0"/>
              <w:bottom w:val="single" w:color="auto" w:sz="4" w:space="0"/>
              <w:right w:val="single" w:color="auto" w:sz="4" w:space="0"/>
            </w:tcBorders>
            <w:shd w:val="clear" w:color="auto" w:fill="auto"/>
            <w:vAlign w:val="center"/>
          </w:tcPr>
          <w:p w14:paraId="681BE1B5">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300 N，10000次</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2C506AD0">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5E01BD4C">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2BBAF438">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3AFE4258">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r>
      <w:tr w14:paraId="0C4458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shd w:val="clear" w:color="auto" w:fill="auto"/>
            <w:vAlign w:val="center"/>
          </w:tcPr>
          <w:p w14:paraId="696681BB">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桌面垂直冲击</w:t>
            </w:r>
          </w:p>
        </w:tc>
        <w:tc>
          <w:tcPr>
            <w:tcW w:w="2383" w:type="dxa"/>
            <w:tcBorders>
              <w:top w:val="single" w:color="auto" w:sz="4" w:space="0"/>
              <w:left w:val="single" w:color="auto" w:sz="4" w:space="0"/>
              <w:bottom w:val="single" w:color="auto" w:sz="4" w:space="0"/>
              <w:right w:val="single" w:color="auto" w:sz="4" w:space="0"/>
            </w:tcBorders>
            <w:shd w:val="clear" w:color="auto" w:fill="auto"/>
            <w:vAlign w:val="center"/>
          </w:tcPr>
          <w:p w14:paraId="7A8C6F69">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冲击高度100 mm，10次</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498254A4">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3199AEA1">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3DC87DDB">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5B93B43A">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r>
      <w:tr w14:paraId="66FBDD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shd w:val="clear" w:color="auto" w:fill="auto"/>
            <w:vAlign w:val="center"/>
          </w:tcPr>
          <w:p w14:paraId="7BECA1EE">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桌用脚轮耐久性</w:t>
            </w:r>
          </w:p>
        </w:tc>
        <w:tc>
          <w:tcPr>
            <w:tcW w:w="2383" w:type="dxa"/>
            <w:tcBorders>
              <w:top w:val="single" w:color="auto" w:sz="4" w:space="0"/>
              <w:left w:val="single" w:color="auto" w:sz="4" w:space="0"/>
              <w:bottom w:val="single" w:color="auto" w:sz="4" w:space="0"/>
              <w:right w:val="single" w:color="auto" w:sz="4" w:space="0"/>
            </w:tcBorders>
            <w:shd w:val="clear" w:color="auto" w:fill="auto"/>
            <w:vAlign w:val="center"/>
          </w:tcPr>
          <w:p w14:paraId="10F540BD">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500次</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37D60F52">
            <w:pPr>
              <w:keepNext w:val="0"/>
              <w:keepLines w:val="0"/>
              <w:widowControl w:val="0"/>
              <w:suppressLineNumbers w:val="0"/>
              <w:adjustRightInd/>
              <w:spacing w:before="0" w:beforeAutospacing="0" w:after="0" w:afterAutospacing="0" w:line="240" w:lineRule="auto"/>
              <w:ind w:left="0" w:right="0"/>
              <w:jc w:val="center"/>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3D736EAE">
            <w:pPr>
              <w:keepNext w:val="0"/>
              <w:keepLines w:val="0"/>
              <w:widowControl w:val="0"/>
              <w:suppressLineNumbers w:val="0"/>
              <w:adjustRightInd/>
              <w:spacing w:before="0" w:beforeAutospacing="0" w:after="0" w:afterAutospacing="0" w:line="240" w:lineRule="auto"/>
              <w:ind w:left="0" w:right="0"/>
              <w:jc w:val="center"/>
              <w:rPr>
                <w:rFonts w:hint="default"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17813974">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51628544">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p>
        </w:tc>
      </w:tr>
      <w:tr w14:paraId="18E3D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shd w:val="clear" w:color="auto" w:fill="auto"/>
            <w:vAlign w:val="center"/>
          </w:tcPr>
          <w:p w14:paraId="42FE5979">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桌腿跌落</w:t>
            </w:r>
          </w:p>
        </w:tc>
        <w:tc>
          <w:tcPr>
            <w:tcW w:w="2383" w:type="dxa"/>
            <w:tcBorders>
              <w:top w:val="single" w:color="auto" w:sz="4" w:space="0"/>
              <w:left w:val="single" w:color="auto" w:sz="4" w:space="0"/>
              <w:bottom w:val="single" w:color="auto" w:sz="4" w:space="0"/>
              <w:right w:val="single" w:color="auto" w:sz="4" w:space="0"/>
            </w:tcBorders>
            <w:shd w:val="clear" w:color="auto" w:fill="auto"/>
            <w:vAlign w:val="center"/>
          </w:tcPr>
          <w:p w14:paraId="3B1311C8">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跌落高度 100 mm，2 次（两端各 1 次）</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61918554">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06B7056B">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15D97504">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7725671A">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r>
      <w:tr w14:paraId="773BDE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shd w:val="clear" w:color="auto" w:fill="auto"/>
            <w:vAlign w:val="center"/>
          </w:tcPr>
          <w:p w14:paraId="3FB5FA38">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高桌台防脱离</w:t>
            </w:r>
          </w:p>
        </w:tc>
        <w:tc>
          <w:tcPr>
            <w:tcW w:w="2383" w:type="dxa"/>
            <w:tcBorders>
              <w:top w:val="single" w:color="auto" w:sz="4" w:space="0"/>
              <w:left w:val="single" w:color="auto" w:sz="4" w:space="0"/>
              <w:bottom w:val="single" w:color="auto" w:sz="4" w:space="0"/>
              <w:right w:val="single" w:color="auto" w:sz="4" w:space="0"/>
            </w:tcBorders>
            <w:shd w:val="clear" w:color="auto" w:fill="auto"/>
            <w:vAlign w:val="center"/>
          </w:tcPr>
          <w:p w14:paraId="718ACE08">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180 N</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14:paraId="2D13A8DB">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1750E19D">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6DEC47F1">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1971F65E">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符合</w:t>
            </w:r>
          </w:p>
        </w:tc>
      </w:tr>
    </w:tbl>
    <w:p w14:paraId="1F21EF1D"/>
    <w:p w14:paraId="3B0F88C8">
      <w:pPr>
        <w:rPr>
          <w:rFonts w:hint="eastAsia"/>
          <w:lang w:val="en-US" w:eastAsia="zh-CN"/>
        </w:rPr>
      </w:pPr>
      <w:r>
        <w:rPr>
          <w:rFonts w:hint="eastAsia"/>
          <w:lang w:val="en-US" w:eastAsia="zh-CN"/>
        </w:rPr>
        <w:t>倾斜桌面止动、防翻转试验</w:t>
      </w:r>
    </w:p>
    <w:p w14:paraId="649B0ECB">
      <w:pPr>
        <w:jc w:val="center"/>
        <w:rPr>
          <w:rFonts w:hint="default"/>
          <w:lang w:val="en-US" w:eastAsia="zh-CN"/>
        </w:rPr>
      </w:pPr>
      <w:r>
        <w:rPr>
          <w:rFonts w:hint="default"/>
          <w:lang w:val="en-US" w:eastAsia="zh-CN"/>
        </w:rPr>
        <w:drawing>
          <wp:inline distT="0" distB="0" distL="114300" distR="114300">
            <wp:extent cx="1386205" cy="1851025"/>
            <wp:effectExtent l="0" t="0" r="4445" b="15875"/>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11"/>
                    <a:stretch>
                      <a:fillRect/>
                    </a:stretch>
                  </pic:blipFill>
                  <pic:spPr>
                    <a:xfrm>
                      <a:off x="0" y="0"/>
                      <a:ext cx="1386205" cy="1851025"/>
                    </a:xfrm>
                    <a:prstGeom prst="rect">
                      <a:avLst/>
                    </a:prstGeom>
                  </pic:spPr>
                </pic:pic>
              </a:graphicData>
            </a:graphic>
          </wp:inline>
        </w:drawing>
      </w:r>
      <w:r>
        <w:rPr>
          <w:rFonts w:hint="default"/>
          <w:lang w:val="en-US" w:eastAsia="zh-CN"/>
        </w:rPr>
        <w:drawing>
          <wp:inline distT="0" distB="0" distL="114300" distR="114300">
            <wp:extent cx="1386205" cy="1849755"/>
            <wp:effectExtent l="0" t="0" r="4445" b="17145"/>
            <wp:docPr id="4" name="图片 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
                    <pic:cNvPicPr>
                      <a:picLocks noChangeAspect="1"/>
                    </pic:cNvPicPr>
                  </pic:nvPicPr>
                  <pic:blipFill>
                    <a:blip r:embed="rId12"/>
                    <a:stretch>
                      <a:fillRect/>
                    </a:stretch>
                  </pic:blipFill>
                  <pic:spPr>
                    <a:xfrm>
                      <a:off x="0" y="0"/>
                      <a:ext cx="1386205" cy="1849755"/>
                    </a:xfrm>
                    <a:prstGeom prst="rect">
                      <a:avLst/>
                    </a:prstGeom>
                  </pic:spPr>
                </pic:pic>
              </a:graphicData>
            </a:graphic>
          </wp:inline>
        </w:drawing>
      </w:r>
      <w:r>
        <w:rPr>
          <w:rFonts w:hint="eastAsia"/>
          <w:lang w:val="en-US" w:eastAsia="zh-CN"/>
        </w:rPr>
        <w:t xml:space="preserve">  </w:t>
      </w:r>
      <w:r>
        <w:rPr>
          <w:rFonts w:hint="default"/>
          <w:lang w:val="en-US" w:eastAsia="zh-CN"/>
        </w:rPr>
        <w:drawing>
          <wp:inline distT="0" distB="0" distL="114300" distR="114300">
            <wp:extent cx="1383030" cy="1844675"/>
            <wp:effectExtent l="0" t="0" r="7620" b="3175"/>
            <wp:docPr id="5" name="图片 5"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
                    <pic:cNvPicPr>
                      <a:picLocks noChangeAspect="1"/>
                    </pic:cNvPicPr>
                  </pic:nvPicPr>
                  <pic:blipFill>
                    <a:blip r:embed="rId13"/>
                    <a:stretch>
                      <a:fillRect/>
                    </a:stretch>
                  </pic:blipFill>
                  <pic:spPr>
                    <a:xfrm>
                      <a:off x="0" y="0"/>
                      <a:ext cx="1383030" cy="1844675"/>
                    </a:xfrm>
                    <a:prstGeom prst="rect">
                      <a:avLst/>
                    </a:prstGeom>
                  </pic:spPr>
                </pic:pic>
              </a:graphicData>
            </a:graphic>
          </wp:inline>
        </w:drawing>
      </w:r>
      <w:r>
        <w:rPr>
          <w:rFonts w:hint="default"/>
          <w:lang w:val="en-US" w:eastAsia="zh-CN"/>
        </w:rPr>
        <w:drawing>
          <wp:inline distT="0" distB="0" distL="114300" distR="114300">
            <wp:extent cx="1382395" cy="1844040"/>
            <wp:effectExtent l="0" t="0" r="8255" b="3810"/>
            <wp:docPr id="14" name="图片 14"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5"/>
                    <pic:cNvPicPr>
                      <a:picLocks noChangeAspect="1"/>
                    </pic:cNvPicPr>
                  </pic:nvPicPr>
                  <pic:blipFill>
                    <a:blip r:embed="rId14"/>
                    <a:stretch>
                      <a:fillRect/>
                    </a:stretch>
                  </pic:blipFill>
                  <pic:spPr>
                    <a:xfrm>
                      <a:off x="0" y="0"/>
                      <a:ext cx="1382395" cy="1844040"/>
                    </a:xfrm>
                    <a:prstGeom prst="rect">
                      <a:avLst/>
                    </a:prstGeom>
                  </pic:spPr>
                </pic:pic>
              </a:graphicData>
            </a:graphic>
          </wp:inline>
        </w:drawing>
      </w:r>
    </w:p>
    <w:p w14:paraId="6708EFE4">
      <w:pPr>
        <w:ind w:firstLine="1050" w:firstLineChars="500"/>
        <w:jc w:val="both"/>
        <w:rPr>
          <w:rFonts w:hint="eastAsia"/>
          <w:lang w:val="en-US" w:eastAsia="zh-CN"/>
        </w:rPr>
      </w:pPr>
      <w:r>
        <w:rPr>
          <w:rFonts w:hint="eastAsia"/>
          <w:lang w:val="en-US" w:eastAsia="zh-CN"/>
        </w:rPr>
        <w:t>倾斜桌面防翻转试验                              倾斜桌面止动试验</w:t>
      </w:r>
    </w:p>
    <w:p w14:paraId="4A921711">
      <w:pPr>
        <w:jc w:val="center"/>
        <w:rPr>
          <w:rFonts w:hint="default"/>
          <w:lang w:val="en-US" w:eastAsia="zh-CN"/>
        </w:rPr>
      </w:pPr>
      <w:r>
        <w:rPr>
          <w:rFonts w:hint="default"/>
          <w:lang w:val="en-US" w:eastAsia="zh-CN"/>
        </w:rPr>
        <w:drawing>
          <wp:inline distT="0" distB="0" distL="114300" distR="114300">
            <wp:extent cx="3037840" cy="2277110"/>
            <wp:effectExtent l="0" t="0" r="10160" b="8890"/>
            <wp:docPr id="18" name="图片 18"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7"/>
                    <pic:cNvPicPr>
                      <a:picLocks noChangeAspect="1"/>
                    </pic:cNvPicPr>
                  </pic:nvPicPr>
                  <pic:blipFill>
                    <a:blip r:embed="rId15"/>
                    <a:stretch>
                      <a:fillRect/>
                    </a:stretch>
                  </pic:blipFill>
                  <pic:spPr>
                    <a:xfrm>
                      <a:off x="0" y="0"/>
                      <a:ext cx="3037840" cy="2277110"/>
                    </a:xfrm>
                    <a:prstGeom prst="rect">
                      <a:avLst/>
                    </a:prstGeom>
                  </pic:spPr>
                </pic:pic>
              </a:graphicData>
            </a:graphic>
          </wp:inline>
        </w:drawing>
      </w:r>
    </w:p>
    <w:p w14:paraId="02B73F02">
      <w:pPr>
        <w:jc w:val="center"/>
        <w:rPr>
          <w:rFonts w:hint="default"/>
          <w:lang w:val="en-US" w:eastAsia="zh-CN"/>
        </w:rPr>
      </w:pPr>
      <w:r>
        <w:rPr>
          <w:rFonts w:hint="default"/>
          <w:lang w:val="en-US" w:eastAsia="zh-CN"/>
        </w:rPr>
        <w:t>升降桌面防自降</w:t>
      </w:r>
    </w:p>
    <w:tbl>
      <w:tblPr>
        <w:tblStyle w:val="8"/>
        <w:tblW w:w="1079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1207"/>
        <w:gridCol w:w="1061"/>
        <w:gridCol w:w="1405"/>
        <w:gridCol w:w="1405"/>
        <w:gridCol w:w="1406"/>
        <w:gridCol w:w="1405"/>
        <w:gridCol w:w="1406"/>
      </w:tblGrid>
      <w:tr w14:paraId="3D319E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376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BFCCB9F">
            <w:pPr>
              <w:keepNext w:val="0"/>
              <w:keepLines w:val="0"/>
              <w:suppressLineNumbers w:val="0"/>
              <w:adjustRightInd w:val="0"/>
              <w:spacing w:before="0" w:beforeAutospacing="0" w:after="0" w:afterAutospacing="0" w:line="400" w:lineRule="exact"/>
              <w:ind w:left="0" w:right="0"/>
              <w:jc w:val="center"/>
              <w:rPr>
                <w:rFonts w:hint="eastAsia" w:ascii="宋体" w:hAnsi="宋体" w:eastAsia="宋体" w:cs="宋体"/>
                <w:kern w:val="2"/>
                <w:sz w:val="18"/>
                <w:szCs w:val="18"/>
                <w:lang w:val="en-US" w:eastAsia="zh-CN" w:bidi="ar-SA"/>
              </w:rPr>
            </w:pPr>
            <w:r>
              <w:rPr>
                <w:rFonts w:hint="eastAsia" w:ascii="宋体" w:hAnsi="宋体" w:cs="宋体"/>
                <w:sz w:val="18"/>
                <w:szCs w:val="18"/>
              </w:rPr>
              <w:t>学习桌检验项目</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3A7A53D1">
            <w:pPr>
              <w:keepNext w:val="0"/>
              <w:keepLines w:val="0"/>
              <w:suppressLineNumbers w:val="0"/>
              <w:adjustRightInd w:val="0"/>
              <w:spacing w:before="0" w:beforeAutospacing="0" w:after="0" w:afterAutospacing="0" w:line="400" w:lineRule="exact"/>
              <w:ind w:left="0" w:right="0"/>
              <w:jc w:val="center"/>
              <w:rPr>
                <w:rFonts w:hint="eastAsia" w:ascii="宋体" w:hAnsi="宋体" w:eastAsia="宋体" w:cs="宋体"/>
                <w:kern w:val="2"/>
                <w:sz w:val="18"/>
                <w:szCs w:val="18"/>
                <w:lang w:val="zh-CN" w:eastAsia="zh-CN" w:bidi="ar-SA"/>
              </w:rPr>
            </w:pPr>
            <w:r>
              <w:rPr>
                <w:rFonts w:hint="eastAsia" w:ascii="宋体" w:hAnsi="宋体" w:cs="宋体"/>
                <w:sz w:val="18"/>
                <w:szCs w:val="18"/>
              </w:rPr>
              <w:t>1</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0283C484">
            <w:pPr>
              <w:keepNext w:val="0"/>
              <w:keepLines w:val="0"/>
              <w:suppressLineNumbers w:val="0"/>
              <w:adjustRightInd w:val="0"/>
              <w:spacing w:before="0" w:beforeAutospacing="0" w:after="0" w:afterAutospacing="0" w:line="400" w:lineRule="exact"/>
              <w:ind w:left="0" w:right="0"/>
              <w:jc w:val="center"/>
              <w:rPr>
                <w:rFonts w:hint="eastAsia" w:ascii="宋体" w:hAnsi="宋体" w:eastAsia="宋体" w:cs="宋体"/>
                <w:kern w:val="2"/>
                <w:sz w:val="18"/>
                <w:szCs w:val="18"/>
                <w:lang w:val="zh-CN" w:eastAsia="zh-CN" w:bidi="ar-SA"/>
              </w:rPr>
            </w:pPr>
            <w:r>
              <w:rPr>
                <w:rFonts w:hint="eastAsia" w:ascii="宋体" w:hAnsi="宋体" w:cs="宋体"/>
                <w:sz w:val="18"/>
                <w:szCs w:val="18"/>
              </w:rPr>
              <w:t>2</w:t>
            </w:r>
          </w:p>
        </w:tc>
        <w:tc>
          <w:tcPr>
            <w:tcW w:w="1406" w:type="dxa"/>
            <w:tcBorders>
              <w:top w:val="single" w:color="auto" w:sz="4" w:space="0"/>
              <w:left w:val="single" w:color="auto" w:sz="4" w:space="0"/>
              <w:bottom w:val="single" w:color="auto" w:sz="4" w:space="0"/>
              <w:right w:val="single" w:color="auto" w:sz="4" w:space="0"/>
            </w:tcBorders>
            <w:shd w:val="clear" w:color="auto" w:fill="auto"/>
            <w:vAlign w:val="center"/>
          </w:tcPr>
          <w:p w14:paraId="19F8BE61">
            <w:pPr>
              <w:keepNext w:val="0"/>
              <w:keepLines w:val="0"/>
              <w:suppressLineNumbers w:val="0"/>
              <w:adjustRightInd w:val="0"/>
              <w:spacing w:before="0" w:beforeAutospacing="0" w:after="0" w:afterAutospacing="0" w:line="400" w:lineRule="exact"/>
              <w:ind w:left="0" w:right="0"/>
              <w:jc w:val="center"/>
              <w:rPr>
                <w:rFonts w:hint="eastAsia" w:ascii="宋体" w:hAnsi="宋体" w:eastAsia="宋体" w:cs="宋体"/>
                <w:kern w:val="2"/>
                <w:sz w:val="18"/>
                <w:szCs w:val="18"/>
                <w:lang w:val="zh-CN" w:eastAsia="zh-CN" w:bidi="ar-SA"/>
              </w:rPr>
            </w:pPr>
            <w:r>
              <w:rPr>
                <w:rFonts w:hint="eastAsia" w:ascii="宋体" w:hAnsi="宋体" w:cs="宋体"/>
                <w:sz w:val="18"/>
                <w:szCs w:val="18"/>
              </w:rPr>
              <w:t>3</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2510A7E8">
            <w:pPr>
              <w:keepNext w:val="0"/>
              <w:keepLines w:val="0"/>
              <w:suppressLineNumbers w:val="0"/>
              <w:adjustRightInd w:val="0"/>
              <w:spacing w:before="0" w:beforeAutospacing="0" w:after="0" w:afterAutospacing="0" w:line="400" w:lineRule="exact"/>
              <w:ind w:left="0" w:right="0"/>
              <w:jc w:val="center"/>
              <w:rPr>
                <w:rFonts w:hint="eastAsia" w:ascii="宋体" w:hAnsi="宋体" w:eastAsia="宋体" w:cs="宋体"/>
                <w:kern w:val="2"/>
                <w:sz w:val="18"/>
                <w:szCs w:val="18"/>
                <w:lang w:val="zh-CN" w:eastAsia="zh-CN" w:bidi="ar-SA"/>
              </w:rPr>
            </w:pPr>
            <w:r>
              <w:rPr>
                <w:rFonts w:hint="eastAsia" w:ascii="宋体" w:hAnsi="宋体" w:cs="宋体"/>
                <w:sz w:val="18"/>
                <w:szCs w:val="18"/>
              </w:rPr>
              <w:t>4</w:t>
            </w:r>
          </w:p>
        </w:tc>
        <w:tc>
          <w:tcPr>
            <w:tcW w:w="1406" w:type="dxa"/>
            <w:tcBorders>
              <w:top w:val="single" w:color="auto" w:sz="4" w:space="0"/>
              <w:left w:val="single" w:color="auto" w:sz="4" w:space="0"/>
              <w:bottom w:val="single" w:color="auto" w:sz="4" w:space="0"/>
              <w:right w:val="single" w:color="auto" w:sz="4" w:space="0"/>
            </w:tcBorders>
            <w:shd w:val="clear" w:color="auto" w:fill="auto"/>
            <w:vAlign w:val="center"/>
          </w:tcPr>
          <w:p w14:paraId="2608C602">
            <w:pPr>
              <w:keepNext w:val="0"/>
              <w:keepLines w:val="0"/>
              <w:suppressLineNumbers w:val="0"/>
              <w:adjustRightInd w:val="0"/>
              <w:spacing w:before="0" w:beforeAutospacing="0" w:after="0" w:afterAutospacing="0" w:line="400" w:lineRule="exact"/>
              <w:ind w:left="0" w:right="0"/>
              <w:jc w:val="center"/>
              <w:rPr>
                <w:rFonts w:hint="eastAsia" w:ascii="宋体" w:hAnsi="宋体" w:eastAsia="宋体" w:cs="宋体"/>
                <w:kern w:val="2"/>
                <w:sz w:val="18"/>
                <w:szCs w:val="18"/>
                <w:lang w:val="zh-CN" w:eastAsia="zh-CN" w:bidi="ar-SA"/>
              </w:rPr>
            </w:pPr>
            <w:r>
              <w:rPr>
                <w:rFonts w:hint="eastAsia" w:ascii="宋体" w:hAnsi="宋体" w:cs="宋体"/>
                <w:sz w:val="18"/>
                <w:szCs w:val="18"/>
              </w:rPr>
              <w:t>5</w:t>
            </w:r>
          </w:p>
        </w:tc>
      </w:tr>
      <w:tr w14:paraId="3FB232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498" w:type="dxa"/>
            <w:tcBorders>
              <w:top w:val="single" w:color="auto" w:sz="4" w:space="0"/>
              <w:left w:val="single" w:color="auto" w:sz="4" w:space="0"/>
              <w:bottom w:val="single" w:color="auto" w:sz="4" w:space="0"/>
              <w:right w:val="single" w:color="auto" w:sz="4" w:space="0"/>
            </w:tcBorders>
            <w:shd w:val="clear" w:color="auto" w:fill="auto"/>
            <w:vAlign w:val="center"/>
          </w:tcPr>
          <w:p w14:paraId="56CAA9C9">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hAnsi="宋体" w:eastAsia="宋体" w:cs="宋体"/>
                <w:sz w:val="18"/>
                <w:szCs w:val="18"/>
              </w:rPr>
              <w:t>倾斜桌面防翻转</w:t>
            </w:r>
          </w:p>
        </w:tc>
        <w:tc>
          <w:tcPr>
            <w:tcW w:w="2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1FC089">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hAnsi="宋体" w:eastAsia="宋体" w:cs="宋体"/>
                <w:sz w:val="18"/>
                <w:szCs w:val="18"/>
              </w:rPr>
              <w:t>300N</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14BF067F">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倾斜桌面未发生翻转或倾斜</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4D5F36F6">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倾斜桌面未发生翻转或倾斜</w:t>
            </w:r>
          </w:p>
        </w:tc>
        <w:tc>
          <w:tcPr>
            <w:tcW w:w="1406" w:type="dxa"/>
            <w:tcBorders>
              <w:top w:val="single" w:color="auto" w:sz="4" w:space="0"/>
              <w:left w:val="single" w:color="auto" w:sz="4" w:space="0"/>
              <w:bottom w:val="single" w:color="auto" w:sz="4" w:space="0"/>
              <w:right w:val="single" w:color="auto" w:sz="4" w:space="0"/>
            </w:tcBorders>
            <w:shd w:val="clear" w:color="auto" w:fill="auto"/>
            <w:vAlign w:val="center"/>
          </w:tcPr>
          <w:p w14:paraId="62CDFF47">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倾斜桌面未发生翻转或倾斜</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2E242DFA">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倾斜桌面未发生翻转或倾斜</w:t>
            </w:r>
          </w:p>
        </w:tc>
        <w:tc>
          <w:tcPr>
            <w:tcW w:w="1406" w:type="dxa"/>
            <w:tcBorders>
              <w:top w:val="single" w:color="auto" w:sz="4" w:space="0"/>
              <w:left w:val="single" w:color="auto" w:sz="4" w:space="0"/>
              <w:bottom w:val="single" w:color="auto" w:sz="4" w:space="0"/>
              <w:right w:val="single" w:color="auto" w:sz="4" w:space="0"/>
            </w:tcBorders>
            <w:vAlign w:val="center"/>
          </w:tcPr>
          <w:p w14:paraId="4577141C">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倾斜桌面未发生翻转或倾斜</w:t>
            </w:r>
          </w:p>
        </w:tc>
      </w:tr>
      <w:tr w14:paraId="552A64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94" w:hRule="atLeast"/>
          <w:jc w:val="center"/>
        </w:trPr>
        <w:tc>
          <w:tcPr>
            <w:tcW w:w="1498" w:type="dxa"/>
            <w:vMerge w:val="restart"/>
            <w:tcBorders>
              <w:top w:val="single" w:color="auto" w:sz="4" w:space="0"/>
              <w:left w:val="single" w:color="auto" w:sz="4" w:space="0"/>
              <w:right w:val="single" w:color="auto" w:sz="4" w:space="0"/>
            </w:tcBorders>
            <w:shd w:val="clear" w:color="auto" w:fill="auto"/>
            <w:vAlign w:val="center"/>
          </w:tcPr>
          <w:p w14:paraId="134E4E25">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hAnsi="宋体" w:eastAsia="宋体" w:cs="宋体"/>
                <w:sz w:val="18"/>
                <w:szCs w:val="18"/>
              </w:rPr>
              <w:t>倾斜桌面止动</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1B660C54">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hAnsi="宋体" w:eastAsia="宋体" w:cs="宋体"/>
                <w:sz w:val="18"/>
                <w:szCs w:val="18"/>
              </w:rPr>
              <w:t>10°</w:t>
            </w:r>
          </w:p>
        </w:tc>
        <w:tc>
          <w:tcPr>
            <w:tcW w:w="1061" w:type="dxa"/>
            <w:vMerge w:val="restart"/>
            <w:tcBorders>
              <w:top w:val="single" w:color="auto" w:sz="4" w:space="0"/>
              <w:left w:val="single" w:color="auto" w:sz="4" w:space="0"/>
              <w:right w:val="single" w:color="auto" w:sz="4" w:space="0"/>
            </w:tcBorders>
            <w:shd w:val="clear" w:color="auto" w:fill="auto"/>
            <w:vAlign w:val="center"/>
          </w:tcPr>
          <w:p w14:paraId="753844F5">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hAnsi="宋体" w:eastAsia="宋体" w:cs="宋体"/>
                <w:sz w:val="18"/>
                <w:szCs w:val="18"/>
              </w:rPr>
              <w:t>100N，15s</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7672F315">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倾斜桌面的倾斜角度变化为1°，止动或锁定装置未失效</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784B03EC">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倾斜桌面的倾斜角度变化为0°，止动或锁定装置未失效</w:t>
            </w:r>
          </w:p>
        </w:tc>
        <w:tc>
          <w:tcPr>
            <w:tcW w:w="1406" w:type="dxa"/>
            <w:tcBorders>
              <w:top w:val="single" w:color="auto" w:sz="4" w:space="0"/>
              <w:left w:val="single" w:color="auto" w:sz="4" w:space="0"/>
              <w:bottom w:val="single" w:color="auto" w:sz="4" w:space="0"/>
              <w:right w:val="single" w:color="auto" w:sz="4" w:space="0"/>
            </w:tcBorders>
            <w:shd w:val="clear" w:color="auto" w:fill="auto"/>
            <w:vAlign w:val="center"/>
          </w:tcPr>
          <w:p w14:paraId="3A41FEAE">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倾斜桌面的倾斜角度变化为1°，止动或锁定装置未失效</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3EBC21FB">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倾斜桌面的倾斜角度变化为0°，止动或锁定装置未失效</w:t>
            </w:r>
          </w:p>
        </w:tc>
        <w:tc>
          <w:tcPr>
            <w:tcW w:w="1406" w:type="dxa"/>
            <w:tcBorders>
              <w:top w:val="single" w:color="auto" w:sz="4" w:space="0"/>
              <w:left w:val="single" w:color="auto" w:sz="4" w:space="0"/>
              <w:bottom w:val="single" w:color="auto" w:sz="4" w:space="0"/>
              <w:right w:val="single" w:color="auto" w:sz="4" w:space="0"/>
            </w:tcBorders>
            <w:vAlign w:val="center"/>
          </w:tcPr>
          <w:p w14:paraId="0B47A48A">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倾斜桌面的倾斜角度变化为1°，止动或锁定装置未失效</w:t>
            </w:r>
          </w:p>
        </w:tc>
      </w:tr>
      <w:tr w14:paraId="6D0866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1498" w:type="dxa"/>
            <w:vMerge w:val="continue"/>
            <w:tcBorders>
              <w:left w:val="single" w:color="auto" w:sz="4" w:space="0"/>
              <w:right w:val="single" w:color="auto" w:sz="4" w:space="0"/>
            </w:tcBorders>
            <w:shd w:val="clear" w:color="auto" w:fill="auto"/>
            <w:vAlign w:val="center"/>
          </w:tcPr>
          <w:p w14:paraId="5D0184C3">
            <w:pPr>
              <w:keepNext w:val="0"/>
              <w:keepLines w:val="0"/>
              <w:suppressLineNumbers w:val="0"/>
              <w:spacing w:before="0" w:beforeAutospacing="0" w:after="0" w:afterAutospacing="0"/>
              <w:ind w:left="0" w:right="0"/>
              <w:jc w:val="center"/>
              <w:rPr>
                <w:rFonts w:hint="default" w:ascii="宋体" w:hAnsi="宋体" w:eastAsia="宋体" w:cs="宋体"/>
                <w:sz w:val="18"/>
                <w:szCs w:val="18"/>
              </w:rPr>
            </w:pP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336FB5B1">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hAnsi="宋体" w:eastAsia="宋体" w:cs="宋体"/>
                <w:sz w:val="18"/>
                <w:szCs w:val="18"/>
              </w:rPr>
              <w:t>最大角度</w:t>
            </w:r>
          </w:p>
        </w:tc>
        <w:tc>
          <w:tcPr>
            <w:tcW w:w="1061" w:type="dxa"/>
            <w:vMerge w:val="continue"/>
            <w:tcBorders>
              <w:left w:val="single" w:color="auto" w:sz="4" w:space="0"/>
              <w:right w:val="single" w:color="auto" w:sz="4" w:space="0"/>
            </w:tcBorders>
            <w:shd w:val="clear" w:color="auto" w:fill="auto"/>
            <w:vAlign w:val="center"/>
          </w:tcPr>
          <w:p w14:paraId="2DD14EB4">
            <w:pPr>
              <w:keepNext w:val="0"/>
              <w:keepLines w:val="0"/>
              <w:suppressLineNumbers w:val="0"/>
              <w:spacing w:before="0" w:beforeAutospacing="0" w:after="0" w:afterAutospacing="0"/>
              <w:ind w:left="0" w:right="0"/>
              <w:jc w:val="center"/>
              <w:rPr>
                <w:rFonts w:hint="default" w:ascii="宋体" w:hAnsi="宋体" w:eastAsia="宋体" w:cs="宋体"/>
                <w:sz w:val="18"/>
                <w:szCs w:val="18"/>
              </w:rPr>
            </w:pP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608A1867">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倾斜桌面的倾斜角度变化为1°，止动或锁定装置未失效</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2AE964C7">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倾斜桌面的倾斜角度变化为1°，止动或锁定装置未失效</w:t>
            </w:r>
          </w:p>
        </w:tc>
        <w:tc>
          <w:tcPr>
            <w:tcW w:w="1406" w:type="dxa"/>
            <w:tcBorders>
              <w:top w:val="single" w:color="auto" w:sz="4" w:space="0"/>
              <w:left w:val="single" w:color="auto" w:sz="4" w:space="0"/>
              <w:bottom w:val="single" w:color="auto" w:sz="4" w:space="0"/>
              <w:right w:val="single" w:color="auto" w:sz="4" w:space="0"/>
            </w:tcBorders>
            <w:shd w:val="clear" w:color="auto" w:fill="auto"/>
            <w:vAlign w:val="center"/>
          </w:tcPr>
          <w:p w14:paraId="4A540CC1">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倾斜桌面的倾斜角度变化为0°，止动或锁定装置未失效</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727FFAD1">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倾斜桌面的倾斜角度变化为1°，止动或锁定装置未失效</w:t>
            </w:r>
          </w:p>
        </w:tc>
        <w:tc>
          <w:tcPr>
            <w:tcW w:w="1406" w:type="dxa"/>
            <w:tcBorders>
              <w:top w:val="single" w:color="auto" w:sz="4" w:space="0"/>
              <w:left w:val="single" w:color="auto" w:sz="4" w:space="0"/>
              <w:bottom w:val="single" w:color="auto" w:sz="4" w:space="0"/>
              <w:right w:val="single" w:color="auto" w:sz="4" w:space="0"/>
            </w:tcBorders>
            <w:vAlign w:val="center"/>
          </w:tcPr>
          <w:p w14:paraId="42665403">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倾斜桌面的倾斜角度变化为0°，止动或锁定装置未失效</w:t>
            </w:r>
          </w:p>
        </w:tc>
      </w:tr>
      <w:tr w14:paraId="103A37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72" w:hRule="atLeast"/>
          <w:jc w:val="center"/>
        </w:trPr>
        <w:tc>
          <w:tcPr>
            <w:tcW w:w="1498" w:type="dxa"/>
            <w:vMerge w:val="continue"/>
            <w:tcBorders>
              <w:left w:val="single" w:color="auto" w:sz="4" w:space="0"/>
              <w:bottom w:val="single" w:color="auto" w:sz="4" w:space="0"/>
              <w:right w:val="single" w:color="auto" w:sz="4" w:space="0"/>
            </w:tcBorders>
            <w:shd w:val="clear" w:color="auto" w:fill="auto"/>
            <w:vAlign w:val="center"/>
          </w:tcPr>
          <w:p w14:paraId="0D9F94A9">
            <w:pPr>
              <w:keepNext w:val="0"/>
              <w:keepLines w:val="0"/>
              <w:suppressLineNumbers w:val="0"/>
              <w:spacing w:before="0" w:beforeAutospacing="0" w:after="0" w:afterAutospacing="0"/>
              <w:ind w:left="0" w:right="0"/>
              <w:jc w:val="center"/>
              <w:rPr>
                <w:rFonts w:hint="default" w:ascii="宋体" w:hAnsi="宋体" w:eastAsia="宋体" w:cs="宋体"/>
                <w:sz w:val="18"/>
                <w:szCs w:val="18"/>
              </w:rPr>
            </w:pP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53FED887">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hAnsi="宋体" w:eastAsia="宋体" w:cs="宋体"/>
                <w:sz w:val="18"/>
                <w:szCs w:val="18"/>
              </w:rPr>
              <w:t>最大角度的中间值</w:t>
            </w:r>
          </w:p>
        </w:tc>
        <w:tc>
          <w:tcPr>
            <w:tcW w:w="1061" w:type="dxa"/>
            <w:vMerge w:val="continue"/>
            <w:tcBorders>
              <w:left w:val="single" w:color="auto" w:sz="4" w:space="0"/>
              <w:bottom w:val="single" w:color="auto" w:sz="4" w:space="0"/>
              <w:right w:val="single" w:color="auto" w:sz="4" w:space="0"/>
            </w:tcBorders>
            <w:shd w:val="clear" w:color="auto" w:fill="auto"/>
            <w:vAlign w:val="center"/>
          </w:tcPr>
          <w:p w14:paraId="56515F97">
            <w:pPr>
              <w:keepNext w:val="0"/>
              <w:keepLines w:val="0"/>
              <w:suppressLineNumbers w:val="0"/>
              <w:spacing w:before="0" w:beforeAutospacing="0" w:after="0" w:afterAutospacing="0"/>
              <w:ind w:left="0" w:right="0"/>
              <w:jc w:val="center"/>
              <w:rPr>
                <w:rFonts w:hint="default" w:ascii="宋体" w:hAnsi="宋体" w:eastAsia="宋体" w:cs="宋体"/>
                <w:sz w:val="18"/>
                <w:szCs w:val="18"/>
              </w:rPr>
            </w:pP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2FCC7A3F">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倾斜桌面的倾斜角度变化为2°，止动或锁定装置未失效</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49A85815">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倾斜桌面的倾斜角度变化为1°，止动或锁定装置未失效</w:t>
            </w:r>
          </w:p>
        </w:tc>
        <w:tc>
          <w:tcPr>
            <w:tcW w:w="1406" w:type="dxa"/>
            <w:tcBorders>
              <w:top w:val="single" w:color="auto" w:sz="4" w:space="0"/>
              <w:left w:val="single" w:color="auto" w:sz="4" w:space="0"/>
              <w:bottom w:val="single" w:color="auto" w:sz="4" w:space="0"/>
              <w:right w:val="single" w:color="auto" w:sz="4" w:space="0"/>
            </w:tcBorders>
            <w:shd w:val="clear" w:color="auto" w:fill="auto"/>
            <w:vAlign w:val="center"/>
          </w:tcPr>
          <w:p w14:paraId="0BCC1933">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倾斜桌面的倾斜角度变化为0°，止动或锁定装置未失效</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07944E39">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倾斜桌面的倾斜角度变化为2°，止动或锁定装置未失效</w:t>
            </w:r>
          </w:p>
        </w:tc>
        <w:tc>
          <w:tcPr>
            <w:tcW w:w="1406" w:type="dxa"/>
            <w:tcBorders>
              <w:top w:val="single" w:color="auto" w:sz="4" w:space="0"/>
              <w:left w:val="single" w:color="auto" w:sz="4" w:space="0"/>
              <w:bottom w:val="single" w:color="auto" w:sz="4" w:space="0"/>
              <w:right w:val="single" w:color="auto" w:sz="4" w:space="0"/>
            </w:tcBorders>
            <w:vAlign w:val="center"/>
          </w:tcPr>
          <w:p w14:paraId="23C35FE9">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倾斜桌面的倾斜角度变化为2°，止动或锁定装置未失效</w:t>
            </w:r>
          </w:p>
        </w:tc>
      </w:tr>
      <w:tr w14:paraId="006A0C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1498" w:type="dxa"/>
            <w:tcBorders>
              <w:top w:val="single" w:color="auto" w:sz="4" w:space="0"/>
              <w:left w:val="single" w:color="auto" w:sz="4" w:space="0"/>
              <w:bottom w:val="single" w:color="auto" w:sz="4" w:space="0"/>
              <w:right w:val="single" w:color="auto" w:sz="4" w:space="0"/>
            </w:tcBorders>
            <w:shd w:val="clear" w:color="auto" w:fill="auto"/>
            <w:vAlign w:val="center"/>
          </w:tcPr>
          <w:p w14:paraId="2D83B9B9">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hAnsi="宋体" w:eastAsia="宋体" w:cs="宋体"/>
                <w:sz w:val="18"/>
                <w:szCs w:val="18"/>
              </w:rPr>
              <w:t>升降桌面防自降</w:t>
            </w:r>
          </w:p>
        </w:tc>
        <w:tc>
          <w:tcPr>
            <w:tcW w:w="2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9270DF">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hAnsi="宋体" w:eastAsia="宋体" w:cs="宋体"/>
                <w:szCs w:val="21"/>
              </w:rPr>
              <w:t>1.0kg/dm</w:t>
            </w:r>
            <w:r>
              <w:rPr>
                <w:rFonts w:hint="eastAsia" w:ascii="宋体" w:hAnsi="宋体" w:eastAsia="宋体" w:cs="宋体"/>
                <w:szCs w:val="21"/>
                <w:vertAlign w:val="superscript"/>
              </w:rPr>
              <w:t>2</w:t>
            </w:r>
            <w:r>
              <w:rPr>
                <w:rFonts w:hint="eastAsia" w:ascii="宋体" w:hAnsi="宋体" w:eastAsia="宋体" w:cs="宋体"/>
                <w:szCs w:val="21"/>
              </w:rPr>
              <w:t>，24h</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7AFE863D">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桌面高度变化为1</w:t>
            </w:r>
            <w:r>
              <w:rPr>
                <w:rFonts w:hint="default" w:ascii="宋体" w:eastAsia="宋体" w:cs="宋体"/>
                <w:kern w:val="0"/>
                <w:szCs w:val="21"/>
                <w:lang w:val="zh-CN"/>
              </w:rPr>
              <w:t>mm</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42F5C47C">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桌面高度变化为</w:t>
            </w:r>
            <w:r>
              <w:rPr>
                <w:rFonts w:hint="eastAsia" w:ascii="宋体" w:hAnsi="宋体" w:eastAsia="宋体" w:cs="宋体"/>
                <w:sz w:val="18"/>
                <w:szCs w:val="18"/>
              </w:rPr>
              <w:t>0mm</w:t>
            </w:r>
          </w:p>
        </w:tc>
        <w:tc>
          <w:tcPr>
            <w:tcW w:w="1406" w:type="dxa"/>
            <w:tcBorders>
              <w:top w:val="single" w:color="auto" w:sz="4" w:space="0"/>
              <w:left w:val="single" w:color="auto" w:sz="4" w:space="0"/>
              <w:bottom w:val="single" w:color="auto" w:sz="4" w:space="0"/>
              <w:right w:val="single" w:color="auto" w:sz="4" w:space="0"/>
            </w:tcBorders>
            <w:shd w:val="clear" w:color="auto" w:fill="auto"/>
            <w:vAlign w:val="center"/>
          </w:tcPr>
          <w:p w14:paraId="7D999C0D">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桌面高度变化为</w:t>
            </w:r>
            <w:r>
              <w:rPr>
                <w:rFonts w:hint="eastAsia" w:ascii="宋体" w:hAnsi="宋体" w:eastAsia="宋体" w:cs="宋体"/>
                <w:sz w:val="18"/>
                <w:szCs w:val="18"/>
              </w:rPr>
              <w:t>0mm</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14:paraId="01A248A0">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桌面高度变化为</w:t>
            </w:r>
            <w:r>
              <w:rPr>
                <w:rFonts w:hint="eastAsia" w:ascii="宋体" w:hAnsi="宋体" w:eastAsia="宋体" w:cs="宋体"/>
                <w:sz w:val="18"/>
                <w:szCs w:val="18"/>
              </w:rPr>
              <w:t>1mm</w:t>
            </w:r>
          </w:p>
        </w:tc>
        <w:tc>
          <w:tcPr>
            <w:tcW w:w="1406" w:type="dxa"/>
            <w:tcBorders>
              <w:top w:val="single" w:color="auto" w:sz="4" w:space="0"/>
              <w:left w:val="single" w:color="auto" w:sz="4" w:space="0"/>
              <w:bottom w:val="single" w:color="auto" w:sz="4" w:space="0"/>
              <w:right w:val="single" w:color="auto" w:sz="4" w:space="0"/>
            </w:tcBorders>
            <w:vAlign w:val="center"/>
          </w:tcPr>
          <w:p w14:paraId="369FE5F9">
            <w:pPr>
              <w:keepNext w:val="0"/>
              <w:keepLines w:val="0"/>
              <w:suppressLineNumbers w:val="0"/>
              <w:spacing w:before="0" w:beforeAutospacing="0" w:after="0" w:afterAutospacing="0"/>
              <w:ind w:left="0" w:right="0"/>
              <w:jc w:val="center"/>
              <w:rPr>
                <w:rFonts w:hint="default" w:ascii="宋体" w:hAnsi="宋体" w:eastAsia="宋体" w:cs="宋体"/>
                <w:sz w:val="18"/>
                <w:szCs w:val="18"/>
              </w:rPr>
            </w:pPr>
            <w:r>
              <w:rPr>
                <w:rFonts w:hint="eastAsia" w:ascii="宋体" w:eastAsia="宋体" w:cs="宋体"/>
                <w:kern w:val="0"/>
                <w:szCs w:val="21"/>
                <w:lang w:val="zh-CN"/>
              </w:rPr>
              <w:t>桌面高度变化为</w:t>
            </w:r>
            <w:r>
              <w:rPr>
                <w:rFonts w:hint="eastAsia" w:ascii="宋体" w:hAnsi="宋体" w:eastAsia="宋体" w:cs="宋体"/>
                <w:sz w:val="18"/>
                <w:szCs w:val="18"/>
              </w:rPr>
              <w:t>0mm</w:t>
            </w:r>
          </w:p>
        </w:tc>
      </w:tr>
      <w:tr w14:paraId="6B843E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079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E03D146">
            <w:pPr>
              <w:keepNext w:val="0"/>
              <w:keepLines w:val="0"/>
              <w:suppressLineNumbers w:val="0"/>
              <w:spacing w:before="0" w:beforeAutospacing="0" w:after="0" w:afterAutospacing="0"/>
              <w:ind w:left="0" w:right="0"/>
              <w:jc w:val="left"/>
              <w:rPr>
                <w:rFonts w:hint="default" w:ascii="宋体" w:hAnsi="宋体" w:eastAsia="宋体" w:cs="宋体"/>
                <w:sz w:val="18"/>
                <w:szCs w:val="18"/>
              </w:rPr>
            </w:pPr>
            <w:r>
              <w:rPr>
                <w:rFonts w:hint="eastAsia" w:ascii="宋体" w:hAnsi="宋体" w:eastAsia="宋体" w:cs="宋体"/>
                <w:sz w:val="18"/>
                <w:szCs w:val="18"/>
              </w:rPr>
              <w:t>备注：样品5为档位调节式产品（共5档调节），进行倾斜桌面止动试验时，10°对应的为第一档，最大角度的中间值对应的为第三档。</w:t>
            </w:r>
          </w:p>
        </w:tc>
      </w:tr>
    </w:tbl>
    <w:p w14:paraId="6F301844">
      <w:pPr>
        <w:numPr>
          <w:ilvl w:val="0"/>
          <w:numId w:val="0"/>
        </w:numPr>
        <w:spacing w:line="440" w:lineRule="exact"/>
        <w:rPr>
          <w:rFonts w:hint="default" w:ascii="黑体" w:hAnsi="宋体" w:eastAsia="黑体"/>
          <w:color w:val="000000"/>
          <w:sz w:val="24"/>
          <w:lang w:val="en-US" w:eastAsia="zh-CN"/>
        </w:rPr>
      </w:pPr>
      <w:r>
        <w:rPr>
          <w:rFonts w:hint="default" w:ascii="黑体" w:hAnsi="宋体" w:eastAsia="黑体"/>
          <w:color w:val="000000"/>
          <w:sz w:val="24"/>
          <w:lang w:val="en-US" w:eastAsia="zh-CN"/>
        </w:rPr>
        <w:t>　倾斜桌面耐久性试验</w:t>
      </w:r>
    </w:p>
    <w:p w14:paraId="4DDD635D">
      <w:pPr>
        <w:pStyle w:val="15"/>
        <w:spacing w:line="360" w:lineRule="auto"/>
        <w:ind w:firstLine="480"/>
        <w:rPr>
          <w:rFonts w:hint="default" w:cs="Calibri"/>
          <w:sz w:val="24"/>
          <w:lang w:val="en-US" w:eastAsia="zh-CN" w:bidi="ar-SA"/>
        </w:rPr>
      </w:pPr>
      <w:r>
        <w:rPr>
          <w:rFonts w:hint="default" w:cs="Calibri"/>
          <w:sz w:val="24"/>
          <w:lang w:val="en-US" w:eastAsia="zh-CN" w:bidi="ar-SA"/>
        </w:rPr>
        <w:t>将空载的桌子水平放置于试验平台上，固定桌子脚使其不能移动，调节桌面从最小角度调节到最大角度，然后再回复到最小角度，为一个循环，测试5000个循环。加载力应尽可能接近手动开合时锁定机构的位置。使倾斜桌面在最低和最高位置保持（2±1）s。测试过程中，应允许控制倾斜桌面开合的开关发挥作用。</w:t>
      </w:r>
      <w:r>
        <w:rPr>
          <w:rFonts w:hint="eastAsia" w:cs="Calibri"/>
          <w:sz w:val="24"/>
          <w:lang w:val="en-US" w:eastAsia="zh-CN" w:bidi="ar-SA"/>
        </w:rPr>
        <w:t>研制了模拟使用者按住开合开关打开倾斜桌面到最大位置，再返回至水平位置的试验设备，并对学习桌产品进行了试验：</w:t>
      </w:r>
    </w:p>
    <w:p w14:paraId="56FAB5DE">
      <w:pPr>
        <w:pStyle w:val="15"/>
        <w:spacing w:line="360" w:lineRule="auto"/>
        <w:ind w:firstLine="480"/>
        <w:rPr>
          <w:rFonts w:hint="eastAsia" w:cs="Calibri"/>
          <w:sz w:val="24"/>
          <w:lang w:val="en-US" w:eastAsia="zh-CN" w:bidi="ar-SA"/>
        </w:rPr>
      </w:pPr>
      <w:r>
        <w:rPr>
          <w:rFonts w:hint="eastAsia" w:cs="Calibri"/>
          <w:sz w:val="24"/>
          <w:lang w:val="en-US" w:eastAsia="zh-CN" w:bidi="ar-SA"/>
        </w:rPr>
        <w:t>产品1——试验前：桌面悬停正常，把手运行正常，气弹簧运行正常，合业正常。经过5000个循环后：桌面悬停正常，把手运行正常（无卡顿），气弹簧运行正常（无漏气），合业正常（无松动）。</w:t>
      </w:r>
    </w:p>
    <w:p w14:paraId="06603537">
      <w:pPr>
        <w:pStyle w:val="15"/>
        <w:spacing w:line="360" w:lineRule="auto"/>
        <w:ind w:firstLine="0" w:firstLineChars="0"/>
        <w:rPr>
          <w:rFonts w:hint="eastAsia" w:cs="Calibri"/>
          <w:sz w:val="24"/>
          <w:lang w:val="en-US" w:eastAsia="zh-CN" w:bidi="ar-SA"/>
        </w:rPr>
      </w:pPr>
      <w:r>
        <w:rPr>
          <w:rFonts w:hint="eastAsia" w:ascii="黑体" w:eastAsia="黑体"/>
          <w:sz w:val="28"/>
          <w:szCs w:val="28"/>
          <w:lang w:eastAsia="zh-CN"/>
        </w:rPr>
        <w:drawing>
          <wp:inline distT="0" distB="0" distL="114300" distR="114300">
            <wp:extent cx="1901190" cy="3382645"/>
            <wp:effectExtent l="0" t="0" r="3810" b="8255"/>
            <wp:docPr id="6" name="图片 6" descr="604f8948052c1cd890d39f5f0e819d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604f8948052c1cd890d39f5f0e819d53"/>
                    <pic:cNvPicPr>
                      <a:picLocks noChangeAspect="1"/>
                    </pic:cNvPicPr>
                  </pic:nvPicPr>
                  <pic:blipFill>
                    <a:blip r:embed="rId16"/>
                    <a:stretch>
                      <a:fillRect/>
                    </a:stretch>
                  </pic:blipFill>
                  <pic:spPr>
                    <a:xfrm>
                      <a:off x="0" y="0"/>
                      <a:ext cx="1901190" cy="3382645"/>
                    </a:xfrm>
                    <a:prstGeom prst="rect">
                      <a:avLst/>
                    </a:prstGeom>
                  </pic:spPr>
                </pic:pic>
              </a:graphicData>
            </a:graphic>
          </wp:inline>
        </w:drawing>
      </w:r>
      <w:r>
        <w:rPr>
          <w:rFonts w:hint="eastAsia" w:ascii="黑体" w:eastAsia="黑体"/>
          <w:sz w:val="28"/>
          <w:szCs w:val="28"/>
          <w:lang w:eastAsia="zh-CN"/>
        </w:rPr>
        <w:drawing>
          <wp:inline distT="0" distB="0" distL="114300" distR="114300">
            <wp:extent cx="1888490" cy="3359150"/>
            <wp:effectExtent l="0" t="0" r="16510" b="12700"/>
            <wp:docPr id="7" name="图片 7" descr="287421f17722ba364fac899c39589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87421f17722ba364fac899c39589049"/>
                    <pic:cNvPicPr>
                      <a:picLocks noChangeAspect="1"/>
                    </pic:cNvPicPr>
                  </pic:nvPicPr>
                  <pic:blipFill>
                    <a:blip r:embed="rId17"/>
                    <a:stretch>
                      <a:fillRect/>
                    </a:stretch>
                  </pic:blipFill>
                  <pic:spPr>
                    <a:xfrm>
                      <a:off x="0" y="0"/>
                      <a:ext cx="1888490" cy="3359150"/>
                    </a:xfrm>
                    <a:prstGeom prst="rect">
                      <a:avLst/>
                    </a:prstGeom>
                  </pic:spPr>
                </pic:pic>
              </a:graphicData>
            </a:graphic>
          </wp:inline>
        </w:drawing>
      </w:r>
      <w:r>
        <w:rPr>
          <w:rFonts w:hint="eastAsia" w:ascii="黑体" w:eastAsia="黑体"/>
          <w:sz w:val="28"/>
          <w:szCs w:val="28"/>
          <w:lang w:eastAsia="zh-CN"/>
        </w:rPr>
        <w:drawing>
          <wp:inline distT="0" distB="0" distL="114300" distR="114300">
            <wp:extent cx="1902460" cy="3387725"/>
            <wp:effectExtent l="0" t="0" r="2540" b="3175"/>
            <wp:docPr id="9" name="图片 9" descr="072ee5f7c978635ff1595182b5d445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072ee5f7c978635ff1595182b5d4458e"/>
                    <pic:cNvPicPr>
                      <a:picLocks noChangeAspect="1"/>
                    </pic:cNvPicPr>
                  </pic:nvPicPr>
                  <pic:blipFill>
                    <a:blip r:embed="rId18"/>
                    <a:stretch>
                      <a:fillRect/>
                    </a:stretch>
                  </pic:blipFill>
                  <pic:spPr>
                    <a:xfrm>
                      <a:off x="0" y="0"/>
                      <a:ext cx="1902460" cy="3387725"/>
                    </a:xfrm>
                    <a:prstGeom prst="rect">
                      <a:avLst/>
                    </a:prstGeom>
                  </pic:spPr>
                </pic:pic>
              </a:graphicData>
            </a:graphic>
          </wp:inline>
        </w:drawing>
      </w:r>
      <w:r>
        <w:rPr>
          <w:rFonts w:hint="eastAsia" w:ascii="黑体" w:eastAsia="黑体"/>
          <w:sz w:val="28"/>
          <w:szCs w:val="28"/>
          <w:lang w:eastAsia="zh-CN"/>
        </w:rPr>
        <w:drawing>
          <wp:inline distT="0" distB="0" distL="114300" distR="114300">
            <wp:extent cx="1565275" cy="2784475"/>
            <wp:effectExtent l="0" t="0" r="15875" b="15875"/>
            <wp:docPr id="10" name="图片 10" descr="107eb0a7dcfb1109bc91f551959213f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07eb0a7dcfb1109bc91f551959213f5"/>
                    <pic:cNvPicPr>
                      <a:picLocks noChangeAspect="1"/>
                    </pic:cNvPicPr>
                  </pic:nvPicPr>
                  <pic:blipFill>
                    <a:blip r:embed="rId19"/>
                    <a:stretch>
                      <a:fillRect/>
                    </a:stretch>
                  </pic:blipFill>
                  <pic:spPr>
                    <a:xfrm>
                      <a:off x="0" y="0"/>
                      <a:ext cx="1565275" cy="2784475"/>
                    </a:xfrm>
                    <a:prstGeom prst="rect">
                      <a:avLst/>
                    </a:prstGeom>
                  </pic:spPr>
                </pic:pic>
              </a:graphicData>
            </a:graphic>
          </wp:inline>
        </w:drawing>
      </w:r>
      <w:r>
        <w:rPr>
          <w:rFonts w:hint="eastAsia" w:ascii="黑体" w:eastAsia="黑体"/>
          <w:sz w:val="28"/>
          <w:szCs w:val="28"/>
          <w:lang w:eastAsia="zh-CN"/>
        </w:rPr>
        <w:drawing>
          <wp:inline distT="0" distB="0" distL="114300" distR="114300">
            <wp:extent cx="1560195" cy="2774315"/>
            <wp:effectExtent l="0" t="0" r="1905" b="6985"/>
            <wp:docPr id="11" name="图片 11" descr="a477427fb8beaf37abfb8b31e4c38a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a477427fb8beaf37abfb8b31e4c38acb"/>
                    <pic:cNvPicPr>
                      <a:picLocks noChangeAspect="1"/>
                    </pic:cNvPicPr>
                  </pic:nvPicPr>
                  <pic:blipFill>
                    <a:blip r:embed="rId20"/>
                    <a:stretch>
                      <a:fillRect/>
                    </a:stretch>
                  </pic:blipFill>
                  <pic:spPr>
                    <a:xfrm>
                      <a:off x="0" y="0"/>
                      <a:ext cx="1560195" cy="2774315"/>
                    </a:xfrm>
                    <a:prstGeom prst="rect">
                      <a:avLst/>
                    </a:prstGeom>
                  </pic:spPr>
                </pic:pic>
              </a:graphicData>
            </a:graphic>
          </wp:inline>
        </w:drawing>
      </w:r>
      <w:r>
        <w:rPr>
          <w:rFonts w:hint="eastAsia" w:ascii="黑体" w:eastAsia="黑体"/>
          <w:sz w:val="28"/>
          <w:szCs w:val="28"/>
          <w:lang w:eastAsia="zh-CN"/>
        </w:rPr>
        <w:drawing>
          <wp:inline distT="0" distB="0" distL="114300" distR="114300">
            <wp:extent cx="2572385" cy="1447165"/>
            <wp:effectExtent l="0" t="0" r="18415" b="635"/>
            <wp:docPr id="8" name="图片 8" descr="4c570a4f2fcd3a6f216fd81a6a58d6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4c570a4f2fcd3a6f216fd81a6a58d61b"/>
                    <pic:cNvPicPr>
                      <a:picLocks noChangeAspect="1"/>
                    </pic:cNvPicPr>
                  </pic:nvPicPr>
                  <pic:blipFill>
                    <a:blip r:embed="rId21"/>
                    <a:stretch>
                      <a:fillRect/>
                    </a:stretch>
                  </pic:blipFill>
                  <pic:spPr>
                    <a:xfrm>
                      <a:off x="0" y="0"/>
                      <a:ext cx="2572385" cy="1447165"/>
                    </a:xfrm>
                    <a:prstGeom prst="rect">
                      <a:avLst/>
                    </a:prstGeom>
                  </pic:spPr>
                </pic:pic>
              </a:graphicData>
            </a:graphic>
          </wp:inline>
        </w:drawing>
      </w:r>
    </w:p>
    <w:p w14:paraId="551549A2">
      <w:pPr>
        <w:pStyle w:val="15"/>
        <w:spacing w:line="360" w:lineRule="auto"/>
        <w:ind w:firstLine="480"/>
        <w:rPr>
          <w:rFonts w:hint="eastAsia" w:cs="Calibri"/>
          <w:sz w:val="24"/>
          <w:lang w:val="en-US" w:eastAsia="zh-CN" w:bidi="ar-SA"/>
        </w:rPr>
      </w:pPr>
      <w:r>
        <w:rPr>
          <w:rFonts w:hint="eastAsia" w:cs="Calibri"/>
          <w:sz w:val="24"/>
          <w:lang w:val="en-US" w:eastAsia="zh-CN" w:bidi="ar-SA"/>
        </w:rPr>
        <w:t>产品2——试验前：桌面悬停正常，把手运行正常，气弹簧运行正常，合业正常。经过5000个循环后：桌面悬停正常，把手运行失效（连接把手接头断落），气弹簧运行正常（无漏气），合业正常（无松动，出现少量铁粉）</w:t>
      </w:r>
    </w:p>
    <w:p w14:paraId="4FB4C1AD">
      <w:pPr>
        <w:pStyle w:val="15"/>
        <w:spacing w:line="360" w:lineRule="auto"/>
        <w:ind w:firstLine="480"/>
        <w:rPr>
          <w:rFonts w:hint="default" w:cs="Calibri"/>
          <w:sz w:val="24"/>
          <w:lang w:val="en-US" w:eastAsia="zh-CN" w:bidi="ar-SA"/>
        </w:rPr>
      </w:pPr>
      <w:r>
        <w:rPr>
          <w:rFonts w:hint="default" w:cs="Calibri"/>
          <w:sz w:val="24"/>
          <w:lang w:val="en-US" w:eastAsia="zh-CN" w:bidi="ar-SA"/>
        </w:rPr>
        <w:drawing>
          <wp:inline distT="0" distB="0" distL="114300" distR="114300">
            <wp:extent cx="1840230" cy="2455545"/>
            <wp:effectExtent l="0" t="0" r="7620" b="1905"/>
            <wp:docPr id="19" name="图片 1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2"/>
                    <pic:cNvPicPr>
                      <a:picLocks noChangeAspect="1"/>
                    </pic:cNvPicPr>
                  </pic:nvPicPr>
                  <pic:blipFill>
                    <a:blip r:embed="rId22"/>
                    <a:stretch>
                      <a:fillRect/>
                    </a:stretch>
                  </pic:blipFill>
                  <pic:spPr>
                    <a:xfrm>
                      <a:off x="0" y="0"/>
                      <a:ext cx="1840230" cy="2455545"/>
                    </a:xfrm>
                    <a:prstGeom prst="rect">
                      <a:avLst/>
                    </a:prstGeom>
                  </pic:spPr>
                </pic:pic>
              </a:graphicData>
            </a:graphic>
          </wp:inline>
        </w:drawing>
      </w:r>
      <w:r>
        <w:rPr>
          <w:rFonts w:hint="default" w:cs="Calibri"/>
          <w:sz w:val="24"/>
          <w:lang w:val="en-US" w:eastAsia="zh-CN" w:bidi="ar-SA"/>
        </w:rPr>
        <w:drawing>
          <wp:inline distT="0" distB="0" distL="114300" distR="114300">
            <wp:extent cx="1818005" cy="2425065"/>
            <wp:effectExtent l="0" t="0" r="10795" b="13335"/>
            <wp:docPr id="20" name="图片 2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3"/>
                    <pic:cNvPicPr>
                      <a:picLocks noChangeAspect="1"/>
                    </pic:cNvPicPr>
                  </pic:nvPicPr>
                  <pic:blipFill>
                    <a:blip r:embed="rId23"/>
                    <a:stretch>
                      <a:fillRect/>
                    </a:stretch>
                  </pic:blipFill>
                  <pic:spPr>
                    <a:xfrm>
                      <a:off x="0" y="0"/>
                      <a:ext cx="1818005" cy="2425065"/>
                    </a:xfrm>
                    <a:prstGeom prst="rect">
                      <a:avLst/>
                    </a:prstGeom>
                  </pic:spPr>
                </pic:pic>
              </a:graphicData>
            </a:graphic>
          </wp:inline>
        </w:drawing>
      </w:r>
      <w:r>
        <w:rPr>
          <w:rFonts w:hint="default" w:cs="Calibri"/>
          <w:sz w:val="24"/>
          <w:lang w:val="en-US" w:eastAsia="zh-CN" w:bidi="ar-SA"/>
        </w:rPr>
        <w:drawing>
          <wp:inline distT="0" distB="0" distL="114300" distR="114300">
            <wp:extent cx="1746885" cy="2330450"/>
            <wp:effectExtent l="0" t="0" r="5715" b="12700"/>
            <wp:docPr id="21" name="图片 2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4"/>
                    <pic:cNvPicPr>
                      <a:picLocks noChangeAspect="1"/>
                    </pic:cNvPicPr>
                  </pic:nvPicPr>
                  <pic:blipFill>
                    <a:blip r:embed="rId24"/>
                    <a:stretch>
                      <a:fillRect/>
                    </a:stretch>
                  </pic:blipFill>
                  <pic:spPr>
                    <a:xfrm>
                      <a:off x="0" y="0"/>
                      <a:ext cx="1746885" cy="2330450"/>
                    </a:xfrm>
                    <a:prstGeom prst="rect">
                      <a:avLst/>
                    </a:prstGeom>
                  </pic:spPr>
                </pic:pic>
              </a:graphicData>
            </a:graphic>
          </wp:inline>
        </w:drawing>
      </w:r>
      <w:r>
        <w:rPr>
          <w:rFonts w:hint="default" w:cs="Calibri"/>
          <w:sz w:val="24"/>
          <w:lang w:val="en-US" w:eastAsia="zh-CN" w:bidi="ar-SA"/>
        </w:rPr>
        <w:drawing>
          <wp:inline distT="0" distB="0" distL="114300" distR="114300">
            <wp:extent cx="1876425" cy="2502535"/>
            <wp:effectExtent l="0" t="0" r="9525" b="12065"/>
            <wp:docPr id="22" name="图片 22"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5"/>
                    <pic:cNvPicPr>
                      <a:picLocks noChangeAspect="1"/>
                    </pic:cNvPicPr>
                  </pic:nvPicPr>
                  <pic:blipFill>
                    <a:blip r:embed="rId25"/>
                    <a:stretch>
                      <a:fillRect/>
                    </a:stretch>
                  </pic:blipFill>
                  <pic:spPr>
                    <a:xfrm>
                      <a:off x="0" y="0"/>
                      <a:ext cx="1876425" cy="2502535"/>
                    </a:xfrm>
                    <a:prstGeom prst="rect">
                      <a:avLst/>
                    </a:prstGeom>
                  </pic:spPr>
                </pic:pic>
              </a:graphicData>
            </a:graphic>
          </wp:inline>
        </w:drawing>
      </w:r>
      <w:r>
        <w:rPr>
          <w:rFonts w:hint="default" w:cs="Calibri"/>
          <w:sz w:val="24"/>
          <w:lang w:val="en-US" w:eastAsia="zh-CN" w:bidi="ar-SA"/>
        </w:rPr>
        <w:drawing>
          <wp:inline distT="0" distB="0" distL="114300" distR="114300">
            <wp:extent cx="1868805" cy="2494280"/>
            <wp:effectExtent l="0" t="0" r="17145" b="1270"/>
            <wp:docPr id="23" name="图片 23"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6"/>
                    <pic:cNvPicPr>
                      <a:picLocks noChangeAspect="1"/>
                    </pic:cNvPicPr>
                  </pic:nvPicPr>
                  <pic:blipFill>
                    <a:blip r:embed="rId26"/>
                    <a:stretch>
                      <a:fillRect/>
                    </a:stretch>
                  </pic:blipFill>
                  <pic:spPr>
                    <a:xfrm>
                      <a:off x="0" y="0"/>
                      <a:ext cx="1868805" cy="2494280"/>
                    </a:xfrm>
                    <a:prstGeom prst="rect">
                      <a:avLst/>
                    </a:prstGeom>
                  </pic:spPr>
                </pic:pic>
              </a:graphicData>
            </a:graphic>
          </wp:inline>
        </w:drawing>
      </w:r>
      <w:r>
        <w:rPr>
          <w:rFonts w:hint="default" w:cs="Calibri"/>
          <w:sz w:val="24"/>
          <w:lang w:val="en-US" w:eastAsia="zh-CN" w:bidi="ar-SA"/>
        </w:rPr>
        <w:drawing>
          <wp:inline distT="0" distB="0" distL="114300" distR="114300">
            <wp:extent cx="1866900" cy="2491105"/>
            <wp:effectExtent l="0" t="0" r="0" b="4445"/>
            <wp:docPr id="24" name="图片 24"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7"/>
                    <pic:cNvPicPr>
                      <a:picLocks noChangeAspect="1"/>
                    </pic:cNvPicPr>
                  </pic:nvPicPr>
                  <pic:blipFill>
                    <a:blip r:embed="rId27"/>
                    <a:stretch>
                      <a:fillRect/>
                    </a:stretch>
                  </pic:blipFill>
                  <pic:spPr>
                    <a:xfrm>
                      <a:off x="0" y="0"/>
                      <a:ext cx="1866900" cy="2491105"/>
                    </a:xfrm>
                    <a:prstGeom prst="rect">
                      <a:avLst/>
                    </a:prstGeom>
                  </pic:spPr>
                </pic:pic>
              </a:graphicData>
            </a:graphic>
          </wp:inline>
        </w:drawing>
      </w:r>
    </w:p>
    <w:p w14:paraId="5448DE9A">
      <w:pPr>
        <w:numPr>
          <w:ilvl w:val="0"/>
          <w:numId w:val="6"/>
        </w:numPr>
        <w:spacing w:line="440" w:lineRule="exact"/>
        <w:ind w:left="0" w:leftChars="0" w:firstLine="480" w:firstLineChars="200"/>
        <w:rPr>
          <w:rFonts w:hint="eastAsia" w:ascii="黑体" w:hAnsi="宋体" w:eastAsia="黑体"/>
          <w:color w:val="000000"/>
          <w:sz w:val="24"/>
          <w:lang w:val="en-US" w:eastAsia="zh-CN"/>
        </w:rPr>
      </w:pPr>
      <w:r>
        <w:rPr>
          <w:rFonts w:hint="eastAsia" w:ascii="黑体" w:hAnsi="宋体" w:eastAsia="黑体"/>
          <w:color w:val="000000"/>
          <w:sz w:val="24"/>
          <w:lang w:val="en-US" w:eastAsia="zh-CN"/>
        </w:rPr>
        <w:t>有害物质</w:t>
      </w:r>
    </w:p>
    <w:tbl>
      <w:tblPr>
        <w:tblStyle w:val="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0"/>
        <w:gridCol w:w="1350"/>
        <w:gridCol w:w="1162"/>
        <w:gridCol w:w="1162"/>
        <w:gridCol w:w="1162"/>
        <w:gridCol w:w="1162"/>
        <w:gridCol w:w="1162"/>
        <w:gridCol w:w="1162"/>
      </w:tblGrid>
      <w:tr w14:paraId="601E8B0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950" w:type="dxa"/>
            <w:tcBorders>
              <w:top w:val="single" w:color="000000" w:sz="12" w:space="0"/>
              <w:bottom w:val="single" w:color="000000" w:sz="12" w:space="0"/>
            </w:tcBorders>
            <w:vAlign w:val="center"/>
          </w:tcPr>
          <w:p w14:paraId="6972F9FE">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检测项目</w:t>
            </w:r>
          </w:p>
        </w:tc>
        <w:tc>
          <w:tcPr>
            <w:tcW w:w="1350" w:type="dxa"/>
            <w:tcBorders>
              <w:top w:val="single" w:color="000000" w:sz="12" w:space="0"/>
              <w:bottom w:val="single" w:color="000000" w:sz="12" w:space="0"/>
            </w:tcBorders>
            <w:vAlign w:val="center"/>
          </w:tcPr>
          <w:p w14:paraId="44E85A27">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要求</w:t>
            </w:r>
          </w:p>
        </w:tc>
        <w:tc>
          <w:tcPr>
            <w:tcW w:w="1162" w:type="dxa"/>
            <w:tcBorders>
              <w:top w:val="single" w:color="000000" w:sz="12" w:space="0"/>
              <w:bottom w:val="single" w:color="000000" w:sz="12" w:space="0"/>
            </w:tcBorders>
            <w:vAlign w:val="center"/>
          </w:tcPr>
          <w:p w14:paraId="0C586EFC">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方法检出限</w:t>
            </w:r>
          </w:p>
        </w:tc>
        <w:tc>
          <w:tcPr>
            <w:tcW w:w="1162" w:type="dxa"/>
            <w:tcBorders>
              <w:top w:val="single" w:color="000000" w:sz="12" w:space="0"/>
              <w:bottom w:val="single" w:color="000000" w:sz="12" w:space="0"/>
            </w:tcBorders>
            <w:vAlign w:val="center"/>
          </w:tcPr>
          <w:p w14:paraId="03EE8557">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检测结果</w:t>
            </w:r>
          </w:p>
          <w:p w14:paraId="2872426C">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学习桌1</w:t>
            </w:r>
          </w:p>
        </w:tc>
        <w:tc>
          <w:tcPr>
            <w:tcW w:w="1162" w:type="dxa"/>
            <w:tcBorders>
              <w:top w:val="single" w:color="000000" w:sz="12" w:space="0"/>
              <w:bottom w:val="single" w:color="000000" w:sz="12" w:space="0"/>
            </w:tcBorders>
            <w:vAlign w:val="center"/>
          </w:tcPr>
          <w:p w14:paraId="6FF259E1">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检测结果</w:t>
            </w:r>
          </w:p>
          <w:p w14:paraId="7DC5A5A2">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学习桌2</w:t>
            </w:r>
          </w:p>
        </w:tc>
        <w:tc>
          <w:tcPr>
            <w:tcW w:w="1162" w:type="dxa"/>
            <w:tcBorders>
              <w:top w:val="single" w:color="000000" w:sz="12" w:space="0"/>
              <w:bottom w:val="single" w:color="000000" w:sz="12" w:space="0"/>
            </w:tcBorders>
            <w:vAlign w:val="center"/>
          </w:tcPr>
          <w:p w14:paraId="04F17BC2">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检测结果</w:t>
            </w:r>
          </w:p>
          <w:p w14:paraId="724B7421">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学习桌3</w:t>
            </w:r>
          </w:p>
        </w:tc>
        <w:tc>
          <w:tcPr>
            <w:tcW w:w="1162" w:type="dxa"/>
            <w:tcBorders>
              <w:top w:val="single" w:color="000000" w:sz="12" w:space="0"/>
              <w:bottom w:val="single" w:color="000000" w:sz="12" w:space="0"/>
            </w:tcBorders>
            <w:vAlign w:val="center"/>
          </w:tcPr>
          <w:p w14:paraId="0328EF71">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检测结果</w:t>
            </w:r>
          </w:p>
          <w:p w14:paraId="1F5D4EB8">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学习椅1</w:t>
            </w:r>
          </w:p>
        </w:tc>
        <w:tc>
          <w:tcPr>
            <w:tcW w:w="1162" w:type="dxa"/>
            <w:tcBorders>
              <w:top w:val="single" w:color="000000" w:sz="12" w:space="0"/>
              <w:bottom w:val="single" w:color="000000" w:sz="12" w:space="0"/>
            </w:tcBorders>
            <w:vAlign w:val="center"/>
          </w:tcPr>
          <w:p w14:paraId="39C8D1DE">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检测结果</w:t>
            </w:r>
          </w:p>
          <w:p w14:paraId="2DA45B20">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学习椅2</w:t>
            </w:r>
          </w:p>
        </w:tc>
      </w:tr>
      <w:tr w14:paraId="5A9AD7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950" w:type="dxa"/>
            <w:tcBorders>
              <w:top w:val="single" w:color="000000" w:sz="12" w:space="0"/>
            </w:tcBorders>
            <w:vAlign w:val="center"/>
          </w:tcPr>
          <w:p w14:paraId="768839CE">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甲醛</w:t>
            </w:r>
          </w:p>
        </w:tc>
        <w:tc>
          <w:tcPr>
            <w:tcW w:w="1350" w:type="dxa"/>
            <w:tcBorders>
              <w:top w:val="single" w:color="000000" w:sz="12" w:space="0"/>
            </w:tcBorders>
            <w:vAlign w:val="center"/>
          </w:tcPr>
          <w:p w14:paraId="60CFC5A3">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≤0.08 mg/m</w:t>
            </w:r>
            <w:r>
              <w:rPr>
                <w:rFonts w:hint="eastAsia" w:ascii="宋体" w:hAnsi="宋体" w:eastAsia="宋体" w:cs="宋体"/>
                <w:sz w:val="18"/>
                <w:szCs w:val="18"/>
                <w:highlight w:val="none"/>
                <w:vertAlign w:val="superscript"/>
                <w:lang w:val="en-US" w:eastAsia="zh-CN"/>
              </w:rPr>
              <w:t>3</w:t>
            </w:r>
          </w:p>
        </w:tc>
        <w:tc>
          <w:tcPr>
            <w:tcW w:w="1162" w:type="dxa"/>
            <w:tcBorders>
              <w:top w:val="single" w:color="000000" w:sz="12" w:space="0"/>
            </w:tcBorders>
            <w:vAlign w:val="center"/>
          </w:tcPr>
          <w:p w14:paraId="7223C41C">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0.005</w:t>
            </w:r>
            <w:r>
              <w:rPr>
                <w:rFonts w:hint="eastAsia" w:hAnsi="宋体" w:cs="宋体"/>
                <w:sz w:val="18"/>
                <w:szCs w:val="18"/>
                <w:highlight w:val="none"/>
                <w:lang w:val="en-US" w:eastAsia="zh-CN"/>
              </w:rPr>
              <w:t xml:space="preserve"> </w:t>
            </w:r>
            <w:r>
              <w:rPr>
                <w:rFonts w:hint="eastAsia" w:ascii="宋体" w:hAnsi="宋体" w:eastAsia="宋体" w:cs="宋体"/>
                <w:sz w:val="18"/>
                <w:szCs w:val="18"/>
                <w:highlight w:val="none"/>
                <w:lang w:val="en-US" w:eastAsia="zh-CN"/>
              </w:rPr>
              <w:t>mg/m</w:t>
            </w:r>
            <w:r>
              <w:rPr>
                <w:rFonts w:hint="eastAsia" w:ascii="宋体" w:hAnsi="宋体" w:eastAsia="宋体" w:cs="宋体"/>
                <w:sz w:val="18"/>
                <w:szCs w:val="18"/>
                <w:highlight w:val="none"/>
                <w:vertAlign w:val="superscript"/>
                <w:lang w:val="en-US" w:eastAsia="zh-CN"/>
              </w:rPr>
              <w:t>3</w:t>
            </w:r>
          </w:p>
        </w:tc>
        <w:tc>
          <w:tcPr>
            <w:tcW w:w="1162" w:type="dxa"/>
            <w:tcBorders>
              <w:top w:val="single" w:color="000000" w:sz="12" w:space="0"/>
            </w:tcBorders>
            <w:vAlign w:val="center"/>
          </w:tcPr>
          <w:p w14:paraId="08E81E06">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tcBorders>
              <w:top w:val="single" w:color="000000" w:sz="12" w:space="0"/>
            </w:tcBorders>
            <w:vAlign w:val="center"/>
          </w:tcPr>
          <w:p w14:paraId="44B5CDAA">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tcBorders>
              <w:top w:val="single" w:color="000000" w:sz="12" w:space="0"/>
            </w:tcBorders>
            <w:vAlign w:val="center"/>
          </w:tcPr>
          <w:p w14:paraId="26C778FF">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tcBorders>
              <w:top w:val="single" w:color="000000" w:sz="12" w:space="0"/>
            </w:tcBorders>
            <w:vAlign w:val="center"/>
          </w:tcPr>
          <w:p w14:paraId="74A08EE0">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tcBorders>
              <w:top w:val="single" w:color="000000" w:sz="12" w:space="0"/>
            </w:tcBorders>
            <w:shd w:val="clear" w:color="auto" w:fill="auto"/>
            <w:vAlign w:val="center"/>
          </w:tcPr>
          <w:p w14:paraId="3FC8EABB">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未检出</w:t>
            </w:r>
          </w:p>
        </w:tc>
      </w:tr>
      <w:tr w14:paraId="23A742F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950" w:type="dxa"/>
            <w:vAlign w:val="center"/>
          </w:tcPr>
          <w:p w14:paraId="654C431F">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苯</w:t>
            </w:r>
          </w:p>
        </w:tc>
        <w:tc>
          <w:tcPr>
            <w:tcW w:w="1350" w:type="dxa"/>
            <w:vAlign w:val="center"/>
          </w:tcPr>
          <w:p w14:paraId="3ED64219">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≤0.06 mg/m</w:t>
            </w:r>
            <w:r>
              <w:rPr>
                <w:rFonts w:hint="eastAsia" w:ascii="宋体" w:hAnsi="宋体" w:eastAsia="宋体" w:cs="宋体"/>
                <w:sz w:val="18"/>
                <w:szCs w:val="18"/>
                <w:highlight w:val="none"/>
                <w:vertAlign w:val="superscript"/>
                <w:lang w:val="en-US" w:eastAsia="zh-CN"/>
              </w:rPr>
              <w:t>3</w:t>
            </w:r>
          </w:p>
        </w:tc>
        <w:tc>
          <w:tcPr>
            <w:tcW w:w="1162" w:type="dxa"/>
            <w:vAlign w:val="center"/>
          </w:tcPr>
          <w:p w14:paraId="0297CFB5">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0.002</w:t>
            </w:r>
            <w:r>
              <w:rPr>
                <w:rFonts w:hint="eastAsia" w:hAnsi="宋体" w:cs="宋体"/>
                <w:sz w:val="18"/>
                <w:szCs w:val="18"/>
                <w:highlight w:val="none"/>
                <w:lang w:val="en-US" w:eastAsia="zh-CN"/>
              </w:rPr>
              <w:t xml:space="preserve"> </w:t>
            </w:r>
            <w:r>
              <w:rPr>
                <w:rFonts w:hint="eastAsia" w:ascii="宋体" w:hAnsi="宋体" w:eastAsia="宋体" w:cs="宋体"/>
                <w:sz w:val="18"/>
                <w:szCs w:val="18"/>
                <w:highlight w:val="none"/>
                <w:lang w:val="en-US" w:eastAsia="zh-CN"/>
              </w:rPr>
              <w:t>mg/m</w:t>
            </w:r>
            <w:r>
              <w:rPr>
                <w:rFonts w:hint="eastAsia" w:ascii="宋体" w:hAnsi="宋体" w:eastAsia="宋体" w:cs="宋体"/>
                <w:sz w:val="18"/>
                <w:szCs w:val="18"/>
                <w:highlight w:val="none"/>
                <w:vertAlign w:val="superscript"/>
                <w:lang w:val="en-US" w:eastAsia="zh-CN"/>
              </w:rPr>
              <w:t>3</w:t>
            </w:r>
          </w:p>
        </w:tc>
        <w:tc>
          <w:tcPr>
            <w:tcW w:w="1162" w:type="dxa"/>
            <w:vAlign w:val="center"/>
          </w:tcPr>
          <w:p w14:paraId="5BB924A5">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vAlign w:val="center"/>
          </w:tcPr>
          <w:p w14:paraId="3E1E7E25">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vAlign w:val="center"/>
          </w:tcPr>
          <w:p w14:paraId="6D91EDB5">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vAlign w:val="center"/>
          </w:tcPr>
          <w:p w14:paraId="781575E8">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shd w:val="clear" w:color="auto" w:fill="auto"/>
            <w:vAlign w:val="center"/>
          </w:tcPr>
          <w:p w14:paraId="0D9ED435">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未检出</w:t>
            </w:r>
          </w:p>
        </w:tc>
      </w:tr>
      <w:tr w14:paraId="6256F6C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950" w:type="dxa"/>
            <w:vAlign w:val="center"/>
          </w:tcPr>
          <w:p w14:paraId="473F16C5">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甲苯</w:t>
            </w:r>
          </w:p>
        </w:tc>
        <w:tc>
          <w:tcPr>
            <w:tcW w:w="1350" w:type="dxa"/>
            <w:vAlign w:val="center"/>
          </w:tcPr>
          <w:p w14:paraId="16AEDFA5">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≤0.15 mg/m</w:t>
            </w:r>
            <w:r>
              <w:rPr>
                <w:rFonts w:hint="eastAsia" w:ascii="宋体" w:hAnsi="宋体" w:eastAsia="宋体" w:cs="宋体"/>
                <w:sz w:val="18"/>
                <w:szCs w:val="18"/>
                <w:highlight w:val="none"/>
                <w:vertAlign w:val="superscript"/>
                <w:lang w:val="en-US" w:eastAsia="zh-CN"/>
              </w:rPr>
              <w:t>3</w:t>
            </w:r>
          </w:p>
        </w:tc>
        <w:tc>
          <w:tcPr>
            <w:tcW w:w="1162" w:type="dxa"/>
            <w:vAlign w:val="center"/>
          </w:tcPr>
          <w:p w14:paraId="2ECF58BC">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0.002</w:t>
            </w:r>
            <w:r>
              <w:rPr>
                <w:rFonts w:hint="eastAsia" w:hAnsi="宋体" w:cs="宋体"/>
                <w:sz w:val="18"/>
                <w:szCs w:val="18"/>
                <w:highlight w:val="none"/>
                <w:lang w:val="en-US" w:eastAsia="zh-CN"/>
              </w:rPr>
              <w:t xml:space="preserve"> </w:t>
            </w:r>
            <w:r>
              <w:rPr>
                <w:rFonts w:hint="eastAsia" w:ascii="宋体" w:hAnsi="宋体" w:eastAsia="宋体" w:cs="宋体"/>
                <w:sz w:val="18"/>
                <w:szCs w:val="18"/>
                <w:highlight w:val="none"/>
                <w:lang w:val="en-US" w:eastAsia="zh-CN"/>
              </w:rPr>
              <w:t>mg/m</w:t>
            </w:r>
            <w:r>
              <w:rPr>
                <w:rFonts w:hint="eastAsia" w:ascii="宋体" w:hAnsi="宋体" w:eastAsia="宋体" w:cs="宋体"/>
                <w:sz w:val="18"/>
                <w:szCs w:val="18"/>
                <w:highlight w:val="none"/>
                <w:vertAlign w:val="superscript"/>
                <w:lang w:val="en-US" w:eastAsia="zh-CN"/>
              </w:rPr>
              <w:t>3</w:t>
            </w:r>
          </w:p>
        </w:tc>
        <w:tc>
          <w:tcPr>
            <w:tcW w:w="1162" w:type="dxa"/>
            <w:vAlign w:val="center"/>
          </w:tcPr>
          <w:p w14:paraId="125059FF">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0.001</w:t>
            </w:r>
          </w:p>
        </w:tc>
        <w:tc>
          <w:tcPr>
            <w:tcW w:w="1162" w:type="dxa"/>
            <w:vAlign w:val="center"/>
          </w:tcPr>
          <w:p w14:paraId="6B972F69">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0.006</w:t>
            </w:r>
          </w:p>
        </w:tc>
        <w:tc>
          <w:tcPr>
            <w:tcW w:w="1162" w:type="dxa"/>
            <w:vAlign w:val="center"/>
          </w:tcPr>
          <w:p w14:paraId="2D00DD05">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0.006</w:t>
            </w:r>
          </w:p>
        </w:tc>
        <w:tc>
          <w:tcPr>
            <w:tcW w:w="1162" w:type="dxa"/>
            <w:vAlign w:val="center"/>
          </w:tcPr>
          <w:p w14:paraId="21669D26">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vAlign w:val="center"/>
          </w:tcPr>
          <w:p w14:paraId="15884F98">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hAnsi="宋体" w:cs="宋体"/>
                <w:sz w:val="18"/>
                <w:szCs w:val="18"/>
                <w:highlight w:val="none"/>
                <w:lang w:val="en-US" w:eastAsia="zh-CN"/>
              </w:rPr>
              <w:t>0.004</w:t>
            </w:r>
          </w:p>
        </w:tc>
      </w:tr>
      <w:tr w14:paraId="00854DF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950" w:type="dxa"/>
            <w:vAlign w:val="center"/>
          </w:tcPr>
          <w:p w14:paraId="68BCC8C7">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二甲苯（邻、间、对二甲苯之和）</w:t>
            </w:r>
          </w:p>
        </w:tc>
        <w:tc>
          <w:tcPr>
            <w:tcW w:w="1350" w:type="dxa"/>
            <w:vAlign w:val="center"/>
          </w:tcPr>
          <w:p w14:paraId="2ED62E37">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b/>
                <w:bCs/>
                <w:sz w:val="18"/>
                <w:szCs w:val="18"/>
                <w:highlight w:val="none"/>
                <w:lang w:val="en-US" w:eastAsia="zh-CN"/>
              </w:rPr>
            </w:pPr>
            <w:r>
              <w:rPr>
                <w:rFonts w:hint="eastAsia" w:ascii="宋体" w:hAnsi="宋体" w:eastAsia="宋体" w:cs="宋体"/>
                <w:sz w:val="18"/>
                <w:szCs w:val="18"/>
                <w:highlight w:val="none"/>
                <w:lang w:val="en-US" w:eastAsia="zh-CN"/>
              </w:rPr>
              <w:t>≤0.20 mg/m</w:t>
            </w:r>
            <w:r>
              <w:rPr>
                <w:rFonts w:hint="eastAsia" w:ascii="宋体" w:hAnsi="宋体" w:eastAsia="宋体" w:cs="宋体"/>
                <w:sz w:val="18"/>
                <w:szCs w:val="18"/>
                <w:highlight w:val="none"/>
                <w:vertAlign w:val="superscript"/>
                <w:lang w:val="en-US" w:eastAsia="zh-CN"/>
              </w:rPr>
              <w:t>3</w:t>
            </w:r>
          </w:p>
        </w:tc>
        <w:tc>
          <w:tcPr>
            <w:tcW w:w="1162" w:type="dxa"/>
            <w:vAlign w:val="center"/>
          </w:tcPr>
          <w:p w14:paraId="02D1373B">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0.002</w:t>
            </w:r>
            <w:r>
              <w:rPr>
                <w:rFonts w:hint="eastAsia" w:hAnsi="宋体" w:cs="宋体"/>
                <w:sz w:val="18"/>
                <w:szCs w:val="18"/>
                <w:highlight w:val="none"/>
                <w:lang w:val="en-US" w:eastAsia="zh-CN"/>
              </w:rPr>
              <w:t xml:space="preserve"> </w:t>
            </w:r>
            <w:r>
              <w:rPr>
                <w:rFonts w:hint="eastAsia" w:ascii="宋体" w:hAnsi="宋体" w:eastAsia="宋体" w:cs="宋体"/>
                <w:sz w:val="18"/>
                <w:szCs w:val="18"/>
                <w:highlight w:val="none"/>
                <w:lang w:val="en-US" w:eastAsia="zh-CN"/>
              </w:rPr>
              <w:t>mg/m</w:t>
            </w:r>
            <w:r>
              <w:rPr>
                <w:rFonts w:hint="eastAsia" w:ascii="宋体" w:hAnsi="宋体" w:eastAsia="宋体" w:cs="宋体"/>
                <w:sz w:val="18"/>
                <w:szCs w:val="18"/>
                <w:highlight w:val="none"/>
                <w:vertAlign w:val="superscript"/>
                <w:lang w:val="en-US" w:eastAsia="zh-CN"/>
              </w:rPr>
              <w:t>3</w:t>
            </w:r>
          </w:p>
        </w:tc>
        <w:tc>
          <w:tcPr>
            <w:tcW w:w="1162" w:type="dxa"/>
            <w:vAlign w:val="center"/>
          </w:tcPr>
          <w:p w14:paraId="2CA8DEE9">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0.002</w:t>
            </w:r>
          </w:p>
        </w:tc>
        <w:tc>
          <w:tcPr>
            <w:tcW w:w="1162" w:type="dxa"/>
            <w:vAlign w:val="center"/>
          </w:tcPr>
          <w:p w14:paraId="2F81DFF8">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0.004</w:t>
            </w:r>
          </w:p>
        </w:tc>
        <w:tc>
          <w:tcPr>
            <w:tcW w:w="1162" w:type="dxa"/>
            <w:vAlign w:val="center"/>
          </w:tcPr>
          <w:p w14:paraId="04EE6399">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vAlign w:val="center"/>
          </w:tcPr>
          <w:p w14:paraId="7A117984">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shd w:val="clear" w:color="auto" w:fill="auto"/>
            <w:vAlign w:val="center"/>
          </w:tcPr>
          <w:p w14:paraId="2657E161">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未检出</w:t>
            </w:r>
          </w:p>
        </w:tc>
      </w:tr>
      <w:tr w14:paraId="4788B07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950" w:type="dxa"/>
            <w:vAlign w:val="center"/>
          </w:tcPr>
          <w:p w14:paraId="250FEAC0">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总挥发性有机化合物（TVOC）</w:t>
            </w:r>
          </w:p>
        </w:tc>
        <w:tc>
          <w:tcPr>
            <w:tcW w:w="1350" w:type="dxa"/>
            <w:vAlign w:val="center"/>
          </w:tcPr>
          <w:p w14:paraId="61D29F93">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≤0.50 mg/m</w:t>
            </w:r>
            <w:r>
              <w:rPr>
                <w:rFonts w:hint="eastAsia" w:ascii="宋体" w:hAnsi="宋体" w:eastAsia="宋体" w:cs="宋体"/>
                <w:sz w:val="18"/>
                <w:szCs w:val="18"/>
                <w:highlight w:val="none"/>
                <w:vertAlign w:val="superscript"/>
                <w:lang w:val="en-US" w:eastAsia="zh-CN"/>
              </w:rPr>
              <w:t>3</w:t>
            </w:r>
          </w:p>
        </w:tc>
        <w:tc>
          <w:tcPr>
            <w:tcW w:w="1162" w:type="dxa"/>
            <w:vAlign w:val="center"/>
          </w:tcPr>
          <w:p w14:paraId="5BE8CADA">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0.0</w:t>
            </w:r>
            <w:r>
              <w:rPr>
                <w:rFonts w:hint="eastAsia" w:hAnsi="宋体" w:cs="宋体"/>
                <w:sz w:val="18"/>
                <w:szCs w:val="18"/>
                <w:highlight w:val="none"/>
                <w:lang w:val="en-US" w:eastAsia="zh-CN"/>
              </w:rPr>
              <w:t xml:space="preserve">50 </w:t>
            </w:r>
            <w:r>
              <w:rPr>
                <w:rFonts w:hint="eastAsia" w:ascii="宋体" w:hAnsi="宋体" w:eastAsia="宋体" w:cs="宋体"/>
                <w:sz w:val="18"/>
                <w:szCs w:val="18"/>
                <w:highlight w:val="none"/>
                <w:lang w:val="en-US" w:eastAsia="zh-CN"/>
              </w:rPr>
              <w:t>mg/m</w:t>
            </w:r>
            <w:r>
              <w:rPr>
                <w:rFonts w:hint="eastAsia" w:ascii="宋体" w:hAnsi="宋体" w:eastAsia="宋体" w:cs="宋体"/>
                <w:sz w:val="18"/>
                <w:szCs w:val="18"/>
                <w:highlight w:val="none"/>
                <w:vertAlign w:val="superscript"/>
                <w:lang w:val="en-US" w:eastAsia="zh-CN"/>
              </w:rPr>
              <w:t>3</w:t>
            </w:r>
          </w:p>
        </w:tc>
        <w:tc>
          <w:tcPr>
            <w:tcW w:w="1162" w:type="dxa"/>
            <w:vAlign w:val="center"/>
          </w:tcPr>
          <w:p w14:paraId="1E3BD5B6">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0.082</w:t>
            </w:r>
          </w:p>
        </w:tc>
        <w:tc>
          <w:tcPr>
            <w:tcW w:w="1162" w:type="dxa"/>
            <w:vAlign w:val="center"/>
          </w:tcPr>
          <w:p w14:paraId="08FDCD7F">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0.057</w:t>
            </w:r>
          </w:p>
        </w:tc>
        <w:tc>
          <w:tcPr>
            <w:tcW w:w="1162" w:type="dxa"/>
            <w:vAlign w:val="center"/>
          </w:tcPr>
          <w:p w14:paraId="284D90D9">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0.063</w:t>
            </w:r>
          </w:p>
        </w:tc>
        <w:tc>
          <w:tcPr>
            <w:tcW w:w="1162" w:type="dxa"/>
            <w:vAlign w:val="center"/>
          </w:tcPr>
          <w:p w14:paraId="7B9FF525">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shd w:val="clear" w:color="auto" w:fill="auto"/>
            <w:vAlign w:val="center"/>
          </w:tcPr>
          <w:p w14:paraId="601AEA20">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bidi="ar-SA"/>
              </w:rPr>
            </w:pPr>
            <w:r>
              <w:rPr>
                <w:rFonts w:hint="eastAsia" w:hAnsi="宋体" w:cs="宋体"/>
                <w:sz w:val="18"/>
                <w:szCs w:val="18"/>
                <w:highlight w:val="none"/>
                <w:lang w:val="en-US" w:eastAsia="zh-CN"/>
              </w:rPr>
              <w:t>0.055</w:t>
            </w:r>
          </w:p>
        </w:tc>
      </w:tr>
      <w:tr w14:paraId="492B3CB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950" w:type="dxa"/>
            <w:shd w:val="clear" w:color="auto" w:fill="auto"/>
            <w:vAlign w:val="center"/>
          </w:tcPr>
          <w:p w14:paraId="413AD7A0">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锑Sb</w:t>
            </w:r>
          </w:p>
        </w:tc>
        <w:tc>
          <w:tcPr>
            <w:tcW w:w="1350" w:type="dxa"/>
            <w:vAlign w:val="center"/>
          </w:tcPr>
          <w:p w14:paraId="05EFC076">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≤60 mg/kg</w:t>
            </w:r>
          </w:p>
        </w:tc>
        <w:tc>
          <w:tcPr>
            <w:tcW w:w="1162" w:type="dxa"/>
            <w:vAlign w:val="center"/>
          </w:tcPr>
          <w:p w14:paraId="5C114874">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5 mg/kg</w:t>
            </w:r>
          </w:p>
        </w:tc>
        <w:tc>
          <w:tcPr>
            <w:tcW w:w="1162" w:type="dxa"/>
            <w:vAlign w:val="center"/>
          </w:tcPr>
          <w:p w14:paraId="12434F34">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未检出</w:t>
            </w:r>
          </w:p>
        </w:tc>
        <w:tc>
          <w:tcPr>
            <w:tcW w:w="1162" w:type="dxa"/>
            <w:vAlign w:val="center"/>
          </w:tcPr>
          <w:p w14:paraId="3FDA6A6B">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vAlign w:val="center"/>
          </w:tcPr>
          <w:p w14:paraId="6FE3CAAE">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vAlign w:val="center"/>
          </w:tcPr>
          <w:p w14:paraId="0A05577F">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shd w:val="clear" w:color="auto" w:fill="auto"/>
            <w:vAlign w:val="center"/>
          </w:tcPr>
          <w:p w14:paraId="4ADF6C83">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未检出</w:t>
            </w:r>
          </w:p>
        </w:tc>
      </w:tr>
      <w:tr w14:paraId="70373B4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950" w:type="dxa"/>
            <w:shd w:val="clear" w:color="auto" w:fill="auto"/>
            <w:vAlign w:val="center"/>
          </w:tcPr>
          <w:p w14:paraId="0C59ACE8">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砷As</w:t>
            </w:r>
          </w:p>
        </w:tc>
        <w:tc>
          <w:tcPr>
            <w:tcW w:w="1350" w:type="dxa"/>
          </w:tcPr>
          <w:p w14:paraId="7A738C82">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≤25 mg/kg</w:t>
            </w:r>
          </w:p>
        </w:tc>
        <w:tc>
          <w:tcPr>
            <w:tcW w:w="1162" w:type="dxa"/>
          </w:tcPr>
          <w:p w14:paraId="49C33DDF">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5 mg/kg</w:t>
            </w:r>
          </w:p>
        </w:tc>
        <w:tc>
          <w:tcPr>
            <w:tcW w:w="1162" w:type="dxa"/>
          </w:tcPr>
          <w:p w14:paraId="4491884B">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未检出</w:t>
            </w:r>
          </w:p>
        </w:tc>
        <w:tc>
          <w:tcPr>
            <w:tcW w:w="1162" w:type="dxa"/>
          </w:tcPr>
          <w:p w14:paraId="438025CB">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tcPr>
          <w:p w14:paraId="5112167A">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tcPr>
          <w:p w14:paraId="6A7DF093">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shd w:val="clear" w:color="auto" w:fill="auto"/>
            <w:vAlign w:val="center"/>
          </w:tcPr>
          <w:p w14:paraId="7777D475">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未检出</w:t>
            </w:r>
          </w:p>
        </w:tc>
      </w:tr>
      <w:tr w14:paraId="07242D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950" w:type="dxa"/>
            <w:shd w:val="clear" w:color="auto" w:fill="auto"/>
            <w:vAlign w:val="center"/>
          </w:tcPr>
          <w:p w14:paraId="0904CAFF">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钡Ba</w:t>
            </w:r>
          </w:p>
        </w:tc>
        <w:tc>
          <w:tcPr>
            <w:tcW w:w="1350" w:type="dxa"/>
          </w:tcPr>
          <w:p w14:paraId="523B68C2">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≤1000 mg/kg</w:t>
            </w:r>
          </w:p>
        </w:tc>
        <w:tc>
          <w:tcPr>
            <w:tcW w:w="1162" w:type="dxa"/>
          </w:tcPr>
          <w:p w14:paraId="41C1E7FB">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10 mg/kg</w:t>
            </w:r>
          </w:p>
        </w:tc>
        <w:tc>
          <w:tcPr>
            <w:tcW w:w="1162" w:type="dxa"/>
          </w:tcPr>
          <w:p w14:paraId="3837D8C0">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未检出</w:t>
            </w:r>
          </w:p>
        </w:tc>
        <w:tc>
          <w:tcPr>
            <w:tcW w:w="1162" w:type="dxa"/>
          </w:tcPr>
          <w:p w14:paraId="0D723778">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shd w:val="clear" w:color="auto" w:fill="auto"/>
            <w:vAlign w:val="top"/>
          </w:tcPr>
          <w:p w14:paraId="0E76E17C">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未检出</w:t>
            </w:r>
          </w:p>
        </w:tc>
        <w:tc>
          <w:tcPr>
            <w:tcW w:w="1162" w:type="dxa"/>
            <w:shd w:val="clear" w:color="auto" w:fill="auto"/>
            <w:vAlign w:val="top"/>
          </w:tcPr>
          <w:p w14:paraId="2B05FA09">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shd w:val="clear" w:color="auto" w:fill="auto"/>
            <w:vAlign w:val="top"/>
          </w:tcPr>
          <w:p w14:paraId="3711CB5D">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hAnsi="宋体" w:cs="宋体"/>
                <w:sz w:val="18"/>
                <w:szCs w:val="18"/>
                <w:highlight w:val="none"/>
                <w:lang w:val="en-US" w:eastAsia="zh-CN"/>
              </w:rPr>
              <w:t>76.4</w:t>
            </w:r>
          </w:p>
        </w:tc>
      </w:tr>
      <w:tr w14:paraId="42B55EA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950" w:type="dxa"/>
            <w:shd w:val="clear" w:color="auto" w:fill="auto"/>
            <w:vAlign w:val="center"/>
          </w:tcPr>
          <w:p w14:paraId="79E96B92">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镉Cd</w:t>
            </w:r>
          </w:p>
        </w:tc>
        <w:tc>
          <w:tcPr>
            <w:tcW w:w="1350" w:type="dxa"/>
          </w:tcPr>
          <w:p w14:paraId="3FA90C7C">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≤75 mg/kg</w:t>
            </w:r>
          </w:p>
        </w:tc>
        <w:tc>
          <w:tcPr>
            <w:tcW w:w="1162" w:type="dxa"/>
          </w:tcPr>
          <w:p w14:paraId="5E4E6103">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5 mg/kg</w:t>
            </w:r>
          </w:p>
        </w:tc>
        <w:tc>
          <w:tcPr>
            <w:tcW w:w="1162" w:type="dxa"/>
            <w:vAlign w:val="top"/>
          </w:tcPr>
          <w:p w14:paraId="75AF6605">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未检出</w:t>
            </w:r>
          </w:p>
        </w:tc>
        <w:tc>
          <w:tcPr>
            <w:tcW w:w="1162" w:type="dxa"/>
          </w:tcPr>
          <w:p w14:paraId="17440174">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shd w:val="clear" w:color="auto" w:fill="auto"/>
            <w:vAlign w:val="top"/>
          </w:tcPr>
          <w:p w14:paraId="5E469F3B">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未检出</w:t>
            </w:r>
          </w:p>
        </w:tc>
        <w:tc>
          <w:tcPr>
            <w:tcW w:w="1162" w:type="dxa"/>
            <w:shd w:val="clear" w:color="auto" w:fill="auto"/>
            <w:vAlign w:val="top"/>
          </w:tcPr>
          <w:p w14:paraId="46233C09">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shd w:val="clear" w:color="auto" w:fill="auto"/>
            <w:vAlign w:val="center"/>
          </w:tcPr>
          <w:p w14:paraId="256DDD5E">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未检出</w:t>
            </w:r>
          </w:p>
        </w:tc>
      </w:tr>
      <w:tr w14:paraId="32CF21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950" w:type="dxa"/>
            <w:shd w:val="clear" w:color="auto" w:fill="auto"/>
            <w:vAlign w:val="center"/>
          </w:tcPr>
          <w:p w14:paraId="08D7A74A">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铬Cr</w:t>
            </w:r>
          </w:p>
        </w:tc>
        <w:tc>
          <w:tcPr>
            <w:tcW w:w="1350" w:type="dxa"/>
          </w:tcPr>
          <w:p w14:paraId="095CF0A2">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≤60 mg/kg</w:t>
            </w:r>
          </w:p>
        </w:tc>
        <w:tc>
          <w:tcPr>
            <w:tcW w:w="1162" w:type="dxa"/>
          </w:tcPr>
          <w:p w14:paraId="783C7543">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5 mg/kg</w:t>
            </w:r>
          </w:p>
        </w:tc>
        <w:tc>
          <w:tcPr>
            <w:tcW w:w="1162" w:type="dxa"/>
            <w:vAlign w:val="top"/>
          </w:tcPr>
          <w:p w14:paraId="3C84F53D">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未检出</w:t>
            </w:r>
          </w:p>
        </w:tc>
        <w:tc>
          <w:tcPr>
            <w:tcW w:w="1162" w:type="dxa"/>
          </w:tcPr>
          <w:p w14:paraId="63CD3179">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shd w:val="clear" w:color="auto" w:fill="auto"/>
            <w:vAlign w:val="top"/>
          </w:tcPr>
          <w:p w14:paraId="417A8B2E">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未检出</w:t>
            </w:r>
          </w:p>
        </w:tc>
        <w:tc>
          <w:tcPr>
            <w:tcW w:w="1162" w:type="dxa"/>
            <w:shd w:val="clear" w:color="auto" w:fill="auto"/>
            <w:vAlign w:val="top"/>
          </w:tcPr>
          <w:p w14:paraId="7727AEAF">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hAnsi="宋体" w:cs="宋体"/>
                <w:sz w:val="18"/>
                <w:szCs w:val="18"/>
                <w:highlight w:val="none"/>
                <w:lang w:val="en-US" w:eastAsia="zh-CN"/>
              </w:rPr>
              <w:t>4.1</w:t>
            </w:r>
          </w:p>
        </w:tc>
        <w:tc>
          <w:tcPr>
            <w:tcW w:w="1162" w:type="dxa"/>
            <w:shd w:val="clear" w:color="auto" w:fill="auto"/>
            <w:vAlign w:val="center"/>
          </w:tcPr>
          <w:p w14:paraId="7BC7F9FA">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未检出</w:t>
            </w:r>
          </w:p>
        </w:tc>
      </w:tr>
      <w:tr w14:paraId="5010B66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950" w:type="dxa"/>
            <w:shd w:val="clear" w:color="auto" w:fill="auto"/>
            <w:vAlign w:val="center"/>
          </w:tcPr>
          <w:p w14:paraId="722E9E40">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铅Pb</w:t>
            </w:r>
          </w:p>
        </w:tc>
        <w:tc>
          <w:tcPr>
            <w:tcW w:w="1350" w:type="dxa"/>
          </w:tcPr>
          <w:p w14:paraId="2EC7B2FB">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≤90 mg/kg</w:t>
            </w:r>
          </w:p>
        </w:tc>
        <w:tc>
          <w:tcPr>
            <w:tcW w:w="1162" w:type="dxa"/>
          </w:tcPr>
          <w:p w14:paraId="07879C21">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5 mg/kg</w:t>
            </w:r>
          </w:p>
        </w:tc>
        <w:tc>
          <w:tcPr>
            <w:tcW w:w="1162" w:type="dxa"/>
            <w:vAlign w:val="top"/>
          </w:tcPr>
          <w:p w14:paraId="34CA1412">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未检出</w:t>
            </w:r>
          </w:p>
        </w:tc>
        <w:tc>
          <w:tcPr>
            <w:tcW w:w="1162" w:type="dxa"/>
          </w:tcPr>
          <w:p w14:paraId="2EB387A9">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shd w:val="clear" w:color="auto" w:fill="auto"/>
            <w:vAlign w:val="top"/>
          </w:tcPr>
          <w:p w14:paraId="30F3C31D">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未检出</w:t>
            </w:r>
          </w:p>
        </w:tc>
        <w:tc>
          <w:tcPr>
            <w:tcW w:w="1162" w:type="dxa"/>
            <w:shd w:val="clear" w:color="auto" w:fill="auto"/>
            <w:vAlign w:val="top"/>
          </w:tcPr>
          <w:p w14:paraId="7ADBE555">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shd w:val="clear" w:color="auto" w:fill="auto"/>
            <w:vAlign w:val="center"/>
          </w:tcPr>
          <w:p w14:paraId="7F79A92D">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未检出</w:t>
            </w:r>
          </w:p>
        </w:tc>
      </w:tr>
      <w:tr w14:paraId="25B17B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950" w:type="dxa"/>
            <w:shd w:val="clear" w:color="auto" w:fill="auto"/>
            <w:vAlign w:val="center"/>
          </w:tcPr>
          <w:p w14:paraId="1A03A030">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汞Hg</w:t>
            </w:r>
          </w:p>
        </w:tc>
        <w:tc>
          <w:tcPr>
            <w:tcW w:w="1350" w:type="dxa"/>
          </w:tcPr>
          <w:p w14:paraId="27B95E3C">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≤60 mg/kg</w:t>
            </w:r>
          </w:p>
        </w:tc>
        <w:tc>
          <w:tcPr>
            <w:tcW w:w="1162" w:type="dxa"/>
          </w:tcPr>
          <w:p w14:paraId="41B8CA5B">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5 mg/kg</w:t>
            </w:r>
          </w:p>
        </w:tc>
        <w:tc>
          <w:tcPr>
            <w:tcW w:w="1162" w:type="dxa"/>
            <w:vAlign w:val="top"/>
          </w:tcPr>
          <w:p w14:paraId="6BB865A5">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未检出</w:t>
            </w:r>
          </w:p>
        </w:tc>
        <w:tc>
          <w:tcPr>
            <w:tcW w:w="1162" w:type="dxa"/>
          </w:tcPr>
          <w:p w14:paraId="64450B75">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shd w:val="clear" w:color="auto" w:fill="auto"/>
            <w:vAlign w:val="top"/>
          </w:tcPr>
          <w:p w14:paraId="65B0A1D3">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未检出</w:t>
            </w:r>
          </w:p>
        </w:tc>
        <w:tc>
          <w:tcPr>
            <w:tcW w:w="1162" w:type="dxa"/>
            <w:shd w:val="clear" w:color="auto" w:fill="auto"/>
            <w:vAlign w:val="top"/>
          </w:tcPr>
          <w:p w14:paraId="7734EC06">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shd w:val="clear" w:color="auto" w:fill="auto"/>
            <w:vAlign w:val="center"/>
          </w:tcPr>
          <w:p w14:paraId="6B3B67F4">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未检出</w:t>
            </w:r>
          </w:p>
        </w:tc>
      </w:tr>
      <w:tr w14:paraId="2A2862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950" w:type="dxa"/>
            <w:shd w:val="clear" w:color="auto" w:fill="auto"/>
            <w:vAlign w:val="center"/>
          </w:tcPr>
          <w:p w14:paraId="2FE55FDF">
            <w:pPr>
              <w:keepNext w:val="0"/>
              <w:keepLines w:val="0"/>
              <w:pageBreakBefore w:val="0"/>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硒Se</w:t>
            </w:r>
          </w:p>
        </w:tc>
        <w:tc>
          <w:tcPr>
            <w:tcW w:w="1350" w:type="dxa"/>
          </w:tcPr>
          <w:p w14:paraId="125F4964">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≤500 mg/kg</w:t>
            </w:r>
          </w:p>
        </w:tc>
        <w:tc>
          <w:tcPr>
            <w:tcW w:w="1162" w:type="dxa"/>
          </w:tcPr>
          <w:p w14:paraId="44630C99">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5 mg/kg</w:t>
            </w:r>
          </w:p>
        </w:tc>
        <w:tc>
          <w:tcPr>
            <w:tcW w:w="1162" w:type="dxa"/>
            <w:vAlign w:val="top"/>
          </w:tcPr>
          <w:p w14:paraId="4E21B15A">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未检出</w:t>
            </w:r>
          </w:p>
        </w:tc>
        <w:tc>
          <w:tcPr>
            <w:tcW w:w="1162" w:type="dxa"/>
          </w:tcPr>
          <w:p w14:paraId="62E07A8A">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shd w:val="clear" w:color="auto" w:fill="auto"/>
            <w:vAlign w:val="top"/>
          </w:tcPr>
          <w:p w14:paraId="1BCF5E8F">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未检出</w:t>
            </w:r>
          </w:p>
        </w:tc>
        <w:tc>
          <w:tcPr>
            <w:tcW w:w="1162" w:type="dxa"/>
            <w:shd w:val="clear" w:color="auto" w:fill="auto"/>
            <w:vAlign w:val="top"/>
          </w:tcPr>
          <w:p w14:paraId="08EFA52A">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未检出</w:t>
            </w:r>
          </w:p>
        </w:tc>
        <w:tc>
          <w:tcPr>
            <w:tcW w:w="1162" w:type="dxa"/>
            <w:shd w:val="clear" w:color="auto" w:fill="auto"/>
            <w:vAlign w:val="center"/>
          </w:tcPr>
          <w:p w14:paraId="22BDFEF5">
            <w:pPr>
              <w:pStyle w:val="15"/>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rPr>
              <w:t>未检出</w:t>
            </w:r>
          </w:p>
        </w:tc>
      </w:tr>
    </w:tbl>
    <w:p w14:paraId="3FCE5E4E">
      <w:pPr>
        <w:numPr>
          <w:ilvl w:val="0"/>
          <w:numId w:val="6"/>
        </w:numPr>
        <w:spacing w:line="440" w:lineRule="exact"/>
        <w:ind w:left="0" w:leftChars="0" w:firstLine="480" w:firstLineChars="200"/>
        <w:rPr>
          <w:rFonts w:hint="default" w:ascii="黑体" w:hAnsi="宋体" w:eastAsia="黑体"/>
          <w:color w:val="000000"/>
          <w:sz w:val="24"/>
          <w:lang w:val="en-US" w:eastAsia="zh-CN"/>
        </w:rPr>
      </w:pPr>
      <w:r>
        <w:rPr>
          <w:rFonts w:hint="eastAsia" w:ascii="黑体" w:hAnsi="宋体" w:eastAsia="黑体"/>
          <w:color w:val="000000"/>
          <w:sz w:val="24"/>
          <w:lang w:val="en-US" w:eastAsia="zh-CN"/>
        </w:rPr>
        <w:t>表面理化性能</w:t>
      </w:r>
    </w:p>
    <w:tbl>
      <w:tblPr>
        <w:tblStyle w:val="43"/>
        <w:tblpPr w:leftFromText="180" w:rightFromText="180" w:vertAnchor="text" w:tblpXSpec="center" w:tblpY="1"/>
        <w:tblOverlap w:val="never"/>
        <w:tblW w:w="471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705"/>
        <w:gridCol w:w="1258"/>
        <w:gridCol w:w="1051"/>
        <w:gridCol w:w="1052"/>
        <w:gridCol w:w="2251"/>
        <w:gridCol w:w="2251"/>
      </w:tblGrid>
      <w:tr w14:paraId="766B4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34" w:hRule="atLeast"/>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5A2223D4">
            <w:pPr>
              <w:pStyle w:val="42"/>
              <w:widowControl/>
              <w:adjustRightInd w:val="0"/>
              <w:snapToGrid w:val="0"/>
              <w:spacing w:before="0" w:beforeAutospacing="0" w:after="0" w:afterAutospacing="0"/>
              <w:ind w:left="108" w:right="96"/>
              <w:jc w:val="center"/>
              <w:rPr>
                <w:color w:val="000000"/>
                <w:sz w:val="18"/>
                <w:szCs w:val="18"/>
              </w:rPr>
            </w:pPr>
            <w:r>
              <w:rPr>
                <w:color w:val="000000"/>
                <w:sz w:val="18"/>
                <w:szCs w:val="18"/>
              </w:rPr>
              <w:t>序号</w:t>
            </w:r>
          </w:p>
        </w:tc>
        <w:tc>
          <w:tcPr>
            <w:tcW w:w="335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7B18E2E">
            <w:pPr>
              <w:pStyle w:val="42"/>
              <w:widowControl/>
              <w:adjustRightInd w:val="0"/>
              <w:snapToGrid w:val="0"/>
              <w:spacing w:before="0" w:beforeAutospacing="0" w:after="0" w:afterAutospacing="0"/>
              <w:ind w:left="108" w:right="96"/>
              <w:jc w:val="center"/>
              <w:rPr>
                <w:color w:val="000000"/>
                <w:sz w:val="18"/>
                <w:szCs w:val="18"/>
              </w:rPr>
            </w:pPr>
            <w:r>
              <w:rPr>
                <w:color w:val="000000"/>
                <w:sz w:val="18"/>
                <w:szCs w:val="18"/>
              </w:rPr>
              <w:t>项 目</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49CE9399">
            <w:pPr>
              <w:pStyle w:val="42"/>
              <w:widowControl/>
              <w:adjustRightInd w:val="0"/>
              <w:snapToGrid w:val="0"/>
              <w:spacing w:before="0" w:beforeAutospacing="0" w:after="0" w:afterAutospacing="0"/>
              <w:ind w:left="108" w:right="96"/>
              <w:jc w:val="center"/>
              <w:rPr>
                <w:rFonts w:hint="default" w:eastAsia="宋体"/>
                <w:color w:val="000000"/>
                <w:sz w:val="18"/>
                <w:szCs w:val="18"/>
                <w:lang w:val="en-US" w:eastAsia="zh-CN"/>
              </w:rPr>
            </w:pPr>
            <w:r>
              <w:rPr>
                <w:rFonts w:hint="eastAsia"/>
                <w:color w:val="000000"/>
                <w:sz w:val="18"/>
                <w:szCs w:val="18"/>
                <w:lang w:val="en-US" w:eastAsia="zh-CN"/>
              </w:rPr>
              <w:t>要求</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7CDEDBB6">
            <w:pPr>
              <w:pStyle w:val="42"/>
              <w:widowControl/>
              <w:adjustRightInd w:val="0"/>
              <w:snapToGrid w:val="0"/>
              <w:spacing w:before="0" w:beforeAutospacing="0" w:after="0" w:afterAutospacing="0"/>
              <w:ind w:left="108" w:right="96"/>
              <w:jc w:val="center"/>
              <w:rPr>
                <w:rFonts w:hint="default"/>
                <w:color w:val="000000"/>
                <w:sz w:val="18"/>
                <w:szCs w:val="18"/>
                <w:lang w:val="en-US" w:eastAsia="zh-CN"/>
              </w:rPr>
            </w:pPr>
            <w:r>
              <w:rPr>
                <w:rFonts w:hint="eastAsia"/>
                <w:color w:val="000000"/>
                <w:sz w:val="18"/>
                <w:szCs w:val="18"/>
                <w:lang w:val="en-US" w:eastAsia="zh-CN"/>
              </w:rPr>
              <w:t>检测结果</w:t>
            </w:r>
          </w:p>
        </w:tc>
      </w:tr>
      <w:tr w14:paraId="465F8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rPr>
        <w:tc>
          <w:tcPr>
            <w:tcW w:w="704" w:type="dxa"/>
            <w:vMerge w:val="restart"/>
            <w:tcBorders>
              <w:top w:val="single" w:color="auto" w:sz="4" w:space="0"/>
              <w:left w:val="single" w:color="auto" w:sz="4" w:space="0"/>
              <w:right w:val="single" w:color="auto" w:sz="4" w:space="0"/>
            </w:tcBorders>
            <w:shd w:val="clear" w:color="auto" w:fill="auto"/>
            <w:vAlign w:val="center"/>
          </w:tcPr>
          <w:p w14:paraId="74D1FD1D">
            <w:pPr>
              <w:pStyle w:val="41"/>
              <w:widowControl/>
              <w:rPr>
                <w:rFonts w:hint="eastAsia"/>
                <w:sz w:val="18"/>
                <w:szCs w:val="18"/>
                <w:lang w:val="en-US" w:eastAsia="zh-CN"/>
              </w:rPr>
            </w:pPr>
            <w:r>
              <w:rPr>
                <w:rFonts w:hint="eastAsia"/>
                <w:sz w:val="18"/>
                <w:szCs w:val="18"/>
                <w:lang w:val="en-US" w:eastAsia="zh-CN"/>
              </w:rPr>
              <w:t>样品1</w:t>
            </w:r>
          </w:p>
          <w:p w14:paraId="587E1D67">
            <w:pPr>
              <w:pStyle w:val="41"/>
              <w:widowControl/>
              <w:rPr>
                <w:rFonts w:hint="default"/>
                <w:sz w:val="18"/>
                <w:szCs w:val="18"/>
                <w:lang w:val="en-US" w:eastAsia="zh-CN"/>
              </w:rPr>
            </w:pPr>
            <w:r>
              <w:rPr>
                <w:rFonts w:hint="eastAsia"/>
                <w:sz w:val="18"/>
                <w:szCs w:val="18"/>
                <w:lang w:val="en-US" w:eastAsia="zh-CN"/>
              </w:rPr>
              <w:t>学习椅</w:t>
            </w:r>
          </w:p>
        </w:tc>
        <w:tc>
          <w:tcPr>
            <w:tcW w:w="12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7EC935">
            <w:pPr>
              <w:pStyle w:val="41"/>
              <w:widowControl/>
              <w:rPr>
                <w:rFonts w:hint="default" w:eastAsia="宋体"/>
                <w:sz w:val="18"/>
                <w:szCs w:val="18"/>
                <w:lang w:val="en-US" w:eastAsia="zh-CN"/>
              </w:rPr>
            </w:pPr>
            <w:r>
              <w:rPr>
                <w:sz w:val="18"/>
                <w:szCs w:val="18"/>
              </w:rPr>
              <w:t>木制件表面</w:t>
            </w:r>
            <w:r>
              <w:rPr>
                <w:rFonts w:hint="eastAsia"/>
                <w:sz w:val="18"/>
                <w:szCs w:val="18"/>
                <w:lang w:val="en-US" w:eastAsia="zh-CN"/>
              </w:rPr>
              <w:t>理化性能-漆膜</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5A814E49">
            <w:pPr>
              <w:pStyle w:val="41"/>
              <w:widowControl/>
              <w:rPr>
                <w:sz w:val="18"/>
                <w:szCs w:val="18"/>
                <w:lang w:val="en-US"/>
              </w:rPr>
            </w:pPr>
            <w:r>
              <w:rPr>
                <w:sz w:val="18"/>
                <w:szCs w:val="18"/>
              </w:rPr>
              <w:t>耐液性</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14:paraId="5D0DA77C">
            <w:pPr>
              <w:pStyle w:val="41"/>
              <w:widowControl/>
              <w:rPr>
                <w:rFonts w:hint="eastAsia" w:eastAsia="宋体"/>
                <w:sz w:val="18"/>
                <w:szCs w:val="18"/>
                <w:lang w:val="en-US" w:eastAsia="zh-CN"/>
              </w:rPr>
            </w:pPr>
            <w:r>
              <w:rPr>
                <w:rFonts w:hint="eastAsia"/>
                <w:sz w:val="18"/>
                <w:szCs w:val="18"/>
                <w:lang w:val="en-US" w:eastAsia="zh-CN"/>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top"/>
          </w:tcPr>
          <w:p w14:paraId="39405980">
            <w:pPr>
              <w:pStyle w:val="41"/>
              <w:widowControl/>
              <w:rPr>
                <w:sz w:val="18"/>
                <w:szCs w:val="18"/>
                <w:lang w:val="en-US"/>
              </w:rPr>
            </w:pPr>
            <w:r>
              <w:rPr>
                <w:sz w:val="18"/>
                <w:szCs w:val="18"/>
                <w:lang w:val="en-US"/>
              </w:rPr>
              <w:t>3</w:t>
            </w:r>
            <w:r>
              <w:rPr>
                <w:sz w:val="18"/>
                <w:szCs w:val="18"/>
              </w:rPr>
              <w:t>级或优于</w:t>
            </w:r>
            <w:r>
              <w:rPr>
                <w:sz w:val="18"/>
                <w:szCs w:val="18"/>
                <w:lang w:val="en-US"/>
              </w:rPr>
              <w:t>3</w:t>
            </w:r>
            <w:r>
              <w:rPr>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top"/>
          </w:tcPr>
          <w:p w14:paraId="433B6687">
            <w:pPr>
              <w:pStyle w:val="41"/>
              <w:widowControl/>
              <w:rPr>
                <w:rFonts w:hint="eastAsia" w:eastAsia="宋体"/>
                <w:sz w:val="18"/>
                <w:szCs w:val="18"/>
                <w:lang w:val="en-US" w:eastAsia="zh-CN"/>
              </w:rPr>
            </w:pPr>
            <w:r>
              <w:rPr>
                <w:rFonts w:hint="eastAsia"/>
                <w:sz w:val="18"/>
                <w:szCs w:val="18"/>
                <w:lang w:val="en-US" w:eastAsia="zh-CN"/>
              </w:rPr>
              <w:t>1</w:t>
            </w:r>
          </w:p>
        </w:tc>
      </w:tr>
      <w:tr w14:paraId="313C3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6" w:hRule="atLeast"/>
        </w:trPr>
        <w:tc>
          <w:tcPr>
            <w:tcW w:w="704" w:type="dxa"/>
            <w:vMerge w:val="continue"/>
            <w:tcBorders>
              <w:left w:val="single" w:color="auto" w:sz="4" w:space="0"/>
              <w:right w:val="single" w:color="auto" w:sz="4" w:space="0"/>
            </w:tcBorders>
            <w:shd w:val="clear" w:color="auto" w:fill="auto"/>
            <w:vAlign w:val="center"/>
          </w:tcPr>
          <w:p w14:paraId="0332F3FB">
            <w:pPr>
              <w:pStyle w:val="41"/>
              <w:widowControl/>
              <w:rPr>
                <w:sz w:val="18"/>
                <w:szCs w:val="18"/>
                <w:lang w:val="en-US"/>
              </w:rPr>
            </w:pPr>
          </w:p>
        </w:tc>
        <w:tc>
          <w:tcPr>
            <w:tcW w:w="12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907720">
            <w:pPr>
              <w:keepNext w:val="0"/>
              <w:keepLines w:val="0"/>
              <w:suppressLineNumbers w:val="0"/>
              <w:spacing w:before="0" w:beforeAutospacing="0" w:after="0" w:afterAutospacing="0"/>
              <w:ind w:left="0" w:right="0"/>
              <w:rPr>
                <w:rFonts w:hint="default" w:ascii="Times New Roman" w:hAnsi="Times New Roman" w:eastAsia="Times New Roman" w:cs="Times New Roman"/>
                <w:sz w:val="20"/>
                <w:szCs w:val="20"/>
              </w:rPr>
            </w:pP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3F0C942E">
            <w:pPr>
              <w:pStyle w:val="41"/>
              <w:widowControl/>
              <w:rPr>
                <w:sz w:val="18"/>
                <w:szCs w:val="18"/>
                <w:lang w:val="en-US"/>
              </w:rPr>
            </w:pPr>
            <w:r>
              <w:rPr>
                <w:sz w:val="18"/>
                <w:szCs w:val="18"/>
              </w:rPr>
              <w:t>耐湿热</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14:paraId="5A4024AB">
            <w:pPr>
              <w:pStyle w:val="41"/>
              <w:widowControl/>
              <w:rPr>
                <w:sz w:val="18"/>
                <w:szCs w:val="18"/>
              </w:rPr>
            </w:pPr>
            <w:r>
              <w:rPr>
                <w:rFonts w:hint="eastAsia"/>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top"/>
          </w:tcPr>
          <w:p w14:paraId="0BDDB63A">
            <w:pPr>
              <w:pStyle w:val="41"/>
              <w:widowControl/>
              <w:rPr>
                <w:sz w:val="18"/>
                <w:szCs w:val="18"/>
                <w:lang w:val="en-US"/>
              </w:rPr>
            </w:pPr>
            <w:r>
              <w:rPr>
                <w:sz w:val="18"/>
                <w:szCs w:val="18"/>
                <w:lang w:val="en-US"/>
              </w:rPr>
              <w:t>3</w:t>
            </w:r>
            <w:r>
              <w:rPr>
                <w:sz w:val="18"/>
                <w:szCs w:val="18"/>
              </w:rPr>
              <w:t>级或优于</w:t>
            </w:r>
            <w:r>
              <w:rPr>
                <w:sz w:val="18"/>
                <w:szCs w:val="18"/>
                <w:lang w:val="en-US"/>
              </w:rPr>
              <w:t>3</w:t>
            </w:r>
            <w:r>
              <w:rPr>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top"/>
          </w:tcPr>
          <w:p w14:paraId="4133948B">
            <w:pPr>
              <w:pStyle w:val="41"/>
              <w:widowControl/>
              <w:rPr>
                <w:rFonts w:hint="eastAsia" w:eastAsia="宋体"/>
                <w:sz w:val="18"/>
                <w:szCs w:val="18"/>
                <w:lang w:val="en-US" w:eastAsia="zh-CN"/>
              </w:rPr>
            </w:pPr>
            <w:r>
              <w:rPr>
                <w:rFonts w:hint="eastAsia"/>
                <w:sz w:val="18"/>
                <w:szCs w:val="18"/>
                <w:lang w:val="en-US" w:eastAsia="zh-CN"/>
              </w:rPr>
              <w:t>1</w:t>
            </w:r>
          </w:p>
        </w:tc>
      </w:tr>
      <w:tr w14:paraId="67D48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78" w:hRule="atLeast"/>
        </w:trPr>
        <w:tc>
          <w:tcPr>
            <w:tcW w:w="704" w:type="dxa"/>
            <w:vMerge w:val="continue"/>
            <w:tcBorders>
              <w:left w:val="single" w:color="auto" w:sz="4" w:space="0"/>
              <w:right w:val="single" w:color="auto" w:sz="4" w:space="0"/>
            </w:tcBorders>
            <w:shd w:val="clear" w:color="auto" w:fill="auto"/>
            <w:vAlign w:val="center"/>
          </w:tcPr>
          <w:p w14:paraId="5DC10045">
            <w:pPr>
              <w:pStyle w:val="41"/>
              <w:widowControl/>
              <w:rPr>
                <w:sz w:val="18"/>
                <w:szCs w:val="18"/>
                <w:lang w:val="en-US"/>
              </w:rPr>
            </w:pPr>
          </w:p>
        </w:tc>
        <w:tc>
          <w:tcPr>
            <w:tcW w:w="12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26695A">
            <w:pPr>
              <w:keepNext w:val="0"/>
              <w:keepLines w:val="0"/>
              <w:suppressLineNumbers w:val="0"/>
              <w:spacing w:before="0" w:beforeAutospacing="0" w:after="0" w:afterAutospacing="0"/>
              <w:ind w:left="0" w:right="0"/>
              <w:rPr>
                <w:rFonts w:hint="default" w:ascii="Times New Roman" w:hAnsi="Times New Roman" w:eastAsia="Times New Roman" w:cs="Times New Roman"/>
                <w:sz w:val="20"/>
                <w:szCs w:val="20"/>
              </w:rPr>
            </w:pP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77EFE050">
            <w:pPr>
              <w:pStyle w:val="41"/>
              <w:widowControl/>
              <w:rPr>
                <w:sz w:val="18"/>
                <w:szCs w:val="18"/>
                <w:lang w:val="en-US"/>
              </w:rPr>
            </w:pPr>
            <w:r>
              <w:rPr>
                <w:sz w:val="18"/>
                <w:szCs w:val="18"/>
              </w:rPr>
              <w:t>耐干热</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14:paraId="5289EB4E">
            <w:pPr>
              <w:pStyle w:val="41"/>
              <w:widowControl/>
              <w:rPr>
                <w:sz w:val="18"/>
                <w:szCs w:val="18"/>
              </w:rPr>
            </w:pPr>
            <w:r>
              <w:rPr>
                <w:rFonts w:hint="eastAsia"/>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top"/>
          </w:tcPr>
          <w:p w14:paraId="5A3B3217">
            <w:pPr>
              <w:pStyle w:val="41"/>
              <w:widowControl/>
              <w:rPr>
                <w:sz w:val="18"/>
                <w:szCs w:val="18"/>
                <w:lang w:val="en-US"/>
              </w:rPr>
            </w:pPr>
            <w:r>
              <w:rPr>
                <w:sz w:val="18"/>
                <w:szCs w:val="18"/>
                <w:lang w:val="en-US"/>
              </w:rPr>
              <w:t>3</w:t>
            </w:r>
            <w:r>
              <w:rPr>
                <w:sz w:val="18"/>
                <w:szCs w:val="18"/>
              </w:rPr>
              <w:t>级或优于</w:t>
            </w:r>
            <w:r>
              <w:rPr>
                <w:sz w:val="18"/>
                <w:szCs w:val="18"/>
                <w:lang w:val="en-US"/>
              </w:rPr>
              <w:t>3</w:t>
            </w:r>
            <w:r>
              <w:rPr>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top"/>
          </w:tcPr>
          <w:p w14:paraId="201AAEAE">
            <w:pPr>
              <w:pStyle w:val="41"/>
              <w:widowControl/>
              <w:rPr>
                <w:rFonts w:hint="eastAsia" w:eastAsia="宋体"/>
                <w:sz w:val="18"/>
                <w:szCs w:val="18"/>
                <w:lang w:val="en-US" w:eastAsia="zh-CN"/>
              </w:rPr>
            </w:pPr>
            <w:r>
              <w:rPr>
                <w:rFonts w:hint="eastAsia"/>
                <w:sz w:val="18"/>
                <w:szCs w:val="18"/>
                <w:lang w:val="en-US" w:eastAsia="zh-CN"/>
              </w:rPr>
              <w:t>1</w:t>
            </w:r>
          </w:p>
        </w:tc>
      </w:tr>
      <w:tr w14:paraId="5A8BE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79" w:hRule="atLeast"/>
        </w:trPr>
        <w:tc>
          <w:tcPr>
            <w:tcW w:w="704" w:type="dxa"/>
            <w:vMerge w:val="continue"/>
            <w:tcBorders>
              <w:left w:val="single" w:color="auto" w:sz="4" w:space="0"/>
              <w:right w:val="single" w:color="auto" w:sz="4" w:space="0"/>
            </w:tcBorders>
            <w:shd w:val="clear" w:color="auto" w:fill="auto"/>
            <w:vAlign w:val="center"/>
          </w:tcPr>
          <w:p w14:paraId="035179C3">
            <w:pPr>
              <w:pStyle w:val="41"/>
              <w:widowControl/>
              <w:rPr>
                <w:sz w:val="18"/>
                <w:szCs w:val="18"/>
                <w:lang w:val="en-US"/>
              </w:rPr>
            </w:pPr>
          </w:p>
        </w:tc>
        <w:tc>
          <w:tcPr>
            <w:tcW w:w="12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BCFECC">
            <w:pPr>
              <w:keepNext w:val="0"/>
              <w:keepLines w:val="0"/>
              <w:suppressLineNumbers w:val="0"/>
              <w:spacing w:before="0" w:beforeAutospacing="0" w:after="0" w:afterAutospacing="0"/>
              <w:ind w:left="0" w:right="0"/>
              <w:rPr>
                <w:rFonts w:hint="default" w:ascii="Times New Roman" w:hAnsi="Times New Roman" w:eastAsia="Times New Roman" w:cs="Times New Roman"/>
                <w:sz w:val="20"/>
                <w:szCs w:val="20"/>
              </w:rPr>
            </w:pP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6D4DC9CD">
            <w:pPr>
              <w:pStyle w:val="41"/>
              <w:widowControl/>
              <w:rPr>
                <w:sz w:val="18"/>
                <w:szCs w:val="18"/>
                <w:lang w:val="en-US"/>
              </w:rPr>
            </w:pPr>
            <w:r>
              <w:rPr>
                <w:sz w:val="18"/>
                <w:szCs w:val="18"/>
              </w:rPr>
              <w:t>附着力</w:t>
            </w:r>
            <w:r>
              <w:rPr>
                <w:spacing w:val="16"/>
                <w:sz w:val="18"/>
                <w:szCs w:val="18"/>
              </w:rPr>
              <w:t xml:space="preserve"> </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14:paraId="0528CB7C">
            <w:pPr>
              <w:pStyle w:val="41"/>
              <w:widowControl/>
              <w:rPr>
                <w:sz w:val="18"/>
                <w:szCs w:val="18"/>
              </w:rPr>
            </w:pPr>
            <w:r>
              <w:rPr>
                <w:rFonts w:hint="eastAsia"/>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top"/>
          </w:tcPr>
          <w:p w14:paraId="350EBE3E">
            <w:pPr>
              <w:pStyle w:val="41"/>
              <w:widowControl/>
              <w:rPr>
                <w:sz w:val="18"/>
                <w:szCs w:val="18"/>
                <w:lang w:val="en-US"/>
              </w:rPr>
            </w:pPr>
            <w:r>
              <w:rPr>
                <w:sz w:val="18"/>
                <w:szCs w:val="18"/>
                <w:lang w:val="en-US"/>
              </w:rPr>
              <w:t>3</w:t>
            </w:r>
            <w:r>
              <w:rPr>
                <w:sz w:val="18"/>
                <w:szCs w:val="18"/>
              </w:rPr>
              <w:t>级或优于</w:t>
            </w:r>
            <w:r>
              <w:rPr>
                <w:sz w:val="18"/>
                <w:szCs w:val="18"/>
                <w:lang w:val="en-US"/>
              </w:rPr>
              <w:t>3</w:t>
            </w:r>
            <w:r>
              <w:rPr>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top"/>
          </w:tcPr>
          <w:p w14:paraId="71684EA6">
            <w:pPr>
              <w:pStyle w:val="41"/>
              <w:widowControl/>
              <w:rPr>
                <w:rFonts w:hint="eastAsia" w:eastAsia="宋体"/>
                <w:sz w:val="18"/>
                <w:szCs w:val="18"/>
                <w:lang w:val="en-US" w:eastAsia="zh-CN"/>
              </w:rPr>
            </w:pPr>
            <w:r>
              <w:rPr>
                <w:rFonts w:hint="eastAsia"/>
                <w:sz w:val="18"/>
                <w:szCs w:val="18"/>
                <w:lang w:val="en-US" w:eastAsia="zh-CN"/>
              </w:rPr>
              <w:t>1</w:t>
            </w:r>
          </w:p>
        </w:tc>
      </w:tr>
      <w:tr w14:paraId="3C3E9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9" w:hRule="atLeast"/>
        </w:trPr>
        <w:tc>
          <w:tcPr>
            <w:tcW w:w="704" w:type="dxa"/>
            <w:vMerge w:val="continue"/>
            <w:tcBorders>
              <w:left w:val="single" w:color="auto" w:sz="4" w:space="0"/>
              <w:right w:val="single" w:color="auto" w:sz="4" w:space="0"/>
            </w:tcBorders>
            <w:shd w:val="clear" w:color="auto" w:fill="auto"/>
            <w:vAlign w:val="center"/>
          </w:tcPr>
          <w:p w14:paraId="4D232D1D">
            <w:pPr>
              <w:pStyle w:val="41"/>
              <w:widowControl/>
              <w:rPr>
                <w:sz w:val="18"/>
                <w:szCs w:val="18"/>
                <w:lang w:val="en-US"/>
              </w:rPr>
            </w:pPr>
          </w:p>
        </w:tc>
        <w:tc>
          <w:tcPr>
            <w:tcW w:w="12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1AA941">
            <w:pPr>
              <w:keepNext w:val="0"/>
              <w:keepLines w:val="0"/>
              <w:suppressLineNumbers w:val="0"/>
              <w:spacing w:before="0" w:beforeAutospacing="0" w:after="0" w:afterAutospacing="0"/>
              <w:ind w:left="0" w:right="0"/>
              <w:rPr>
                <w:rFonts w:hint="default" w:ascii="Times New Roman" w:hAnsi="Times New Roman" w:eastAsia="Times New Roman" w:cs="Times New Roman"/>
                <w:sz w:val="20"/>
                <w:szCs w:val="20"/>
              </w:rPr>
            </w:pPr>
          </w:p>
        </w:tc>
        <w:tc>
          <w:tcPr>
            <w:tcW w:w="21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673A43">
            <w:pPr>
              <w:pStyle w:val="41"/>
              <w:widowControl/>
              <w:rPr>
                <w:sz w:val="18"/>
                <w:szCs w:val="18"/>
              </w:rPr>
            </w:pPr>
            <w:r>
              <w:rPr>
                <w:sz w:val="18"/>
                <w:szCs w:val="18"/>
              </w:rPr>
              <w:t>耐冷热温差</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top"/>
          </w:tcPr>
          <w:p w14:paraId="63470F3C">
            <w:pPr>
              <w:pStyle w:val="41"/>
              <w:widowControl/>
              <w:rPr>
                <w:sz w:val="18"/>
                <w:szCs w:val="18"/>
                <w:lang w:val="en-US"/>
              </w:rPr>
            </w:pPr>
            <w:r>
              <w:rPr>
                <w:sz w:val="18"/>
                <w:szCs w:val="18"/>
              </w:rPr>
              <w:t>应无鼓泡、裂缝和明显失光</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top"/>
          </w:tcPr>
          <w:p w14:paraId="75AF66B7">
            <w:pPr>
              <w:pStyle w:val="41"/>
              <w:widowControl/>
              <w:rPr>
                <w:rFonts w:hint="eastAsia" w:eastAsia="宋体"/>
                <w:sz w:val="18"/>
                <w:szCs w:val="18"/>
                <w:lang w:val="en-US" w:eastAsia="zh-CN"/>
              </w:rPr>
            </w:pPr>
            <w:r>
              <w:rPr>
                <w:rFonts w:hint="eastAsia"/>
                <w:sz w:val="18"/>
                <w:szCs w:val="18"/>
                <w:lang w:val="en-US" w:eastAsia="zh-CN"/>
              </w:rPr>
              <w:t>无</w:t>
            </w:r>
            <w:r>
              <w:rPr>
                <w:rFonts w:hint="eastAsia"/>
                <w:sz w:val="18"/>
                <w:szCs w:val="18"/>
              </w:rPr>
              <w:t>鼓泡、裂缝和明显失</w:t>
            </w:r>
            <w:r>
              <w:rPr>
                <w:rFonts w:hint="eastAsia"/>
                <w:sz w:val="18"/>
                <w:szCs w:val="18"/>
                <w:lang w:val="en-US" w:eastAsia="zh-CN"/>
              </w:rPr>
              <w:t>光</w:t>
            </w:r>
          </w:p>
        </w:tc>
      </w:tr>
      <w:tr w14:paraId="61214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9" w:hRule="atLeast"/>
        </w:trPr>
        <w:tc>
          <w:tcPr>
            <w:tcW w:w="704" w:type="dxa"/>
            <w:vMerge w:val="continue"/>
            <w:tcBorders>
              <w:left w:val="single" w:color="auto" w:sz="4" w:space="0"/>
              <w:right w:val="single" w:color="auto" w:sz="4" w:space="0"/>
            </w:tcBorders>
            <w:shd w:val="clear" w:color="auto" w:fill="auto"/>
            <w:vAlign w:val="center"/>
          </w:tcPr>
          <w:p w14:paraId="4E9C3DFA">
            <w:pPr>
              <w:pStyle w:val="41"/>
              <w:widowControl/>
              <w:rPr>
                <w:sz w:val="18"/>
                <w:szCs w:val="18"/>
                <w:lang w:val="en-US"/>
              </w:rPr>
            </w:pPr>
          </w:p>
        </w:tc>
        <w:tc>
          <w:tcPr>
            <w:tcW w:w="12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E6EBD9">
            <w:pPr>
              <w:keepNext w:val="0"/>
              <w:keepLines w:val="0"/>
              <w:suppressLineNumbers w:val="0"/>
              <w:spacing w:before="0" w:beforeAutospacing="0" w:after="0" w:afterAutospacing="0"/>
              <w:ind w:left="0" w:right="0"/>
              <w:rPr>
                <w:rFonts w:hint="default" w:ascii="Times New Roman" w:hAnsi="Times New Roman" w:eastAsia="Times New Roman" w:cs="Times New Roman"/>
                <w:sz w:val="20"/>
                <w:szCs w:val="20"/>
              </w:rPr>
            </w:pP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6B072DAA">
            <w:pPr>
              <w:pStyle w:val="41"/>
              <w:widowControl/>
              <w:rPr>
                <w:sz w:val="18"/>
                <w:szCs w:val="18"/>
                <w:lang w:val="en-US"/>
              </w:rPr>
            </w:pPr>
            <w:r>
              <w:rPr>
                <w:sz w:val="18"/>
                <w:szCs w:val="18"/>
              </w:rPr>
              <w:t>耐磨性</w:t>
            </w:r>
            <w:r>
              <w:rPr>
                <w:sz w:val="18"/>
                <w:szCs w:val="18"/>
                <w:lang w:val="en-US"/>
              </w:rPr>
              <w:t xml:space="preserve">  </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14:paraId="29285189">
            <w:pPr>
              <w:pStyle w:val="41"/>
              <w:widowControl/>
              <w:rPr>
                <w:sz w:val="18"/>
                <w:szCs w:val="18"/>
              </w:rPr>
            </w:pPr>
            <w:r>
              <w:rPr>
                <w:rFonts w:hint="eastAsia"/>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26B6E173">
            <w:pPr>
              <w:pStyle w:val="41"/>
              <w:widowControl/>
              <w:rPr>
                <w:sz w:val="18"/>
                <w:szCs w:val="18"/>
                <w:lang w:val="en-US"/>
              </w:rPr>
            </w:pPr>
            <w:r>
              <w:rPr>
                <w:sz w:val="18"/>
                <w:szCs w:val="18"/>
                <w:lang w:val="en-US"/>
              </w:rPr>
              <w:t>3</w:t>
            </w:r>
            <w:r>
              <w:rPr>
                <w:sz w:val="18"/>
                <w:szCs w:val="18"/>
              </w:rPr>
              <w:t>级或优于</w:t>
            </w:r>
            <w:r>
              <w:rPr>
                <w:sz w:val="18"/>
                <w:szCs w:val="18"/>
                <w:lang w:val="en-US"/>
              </w:rPr>
              <w:t>3</w:t>
            </w:r>
            <w:r>
              <w:rPr>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4C3CE4CE">
            <w:pPr>
              <w:pStyle w:val="41"/>
              <w:widowControl/>
              <w:rPr>
                <w:rFonts w:hint="eastAsia" w:eastAsia="宋体"/>
                <w:sz w:val="18"/>
                <w:szCs w:val="18"/>
                <w:lang w:val="en-US" w:eastAsia="zh-CN"/>
              </w:rPr>
            </w:pPr>
            <w:r>
              <w:rPr>
                <w:rFonts w:hint="eastAsia"/>
                <w:sz w:val="18"/>
                <w:szCs w:val="18"/>
                <w:lang w:val="en-US" w:eastAsia="zh-CN"/>
              </w:rPr>
              <w:t>2</w:t>
            </w:r>
          </w:p>
        </w:tc>
      </w:tr>
      <w:tr w14:paraId="671C5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33" w:hRule="atLeast"/>
        </w:trPr>
        <w:tc>
          <w:tcPr>
            <w:tcW w:w="704" w:type="dxa"/>
            <w:vMerge w:val="continue"/>
            <w:tcBorders>
              <w:left w:val="single" w:color="auto" w:sz="4" w:space="0"/>
              <w:right w:val="single" w:color="auto" w:sz="4" w:space="0"/>
            </w:tcBorders>
            <w:shd w:val="clear" w:color="auto" w:fill="auto"/>
            <w:vAlign w:val="center"/>
          </w:tcPr>
          <w:p w14:paraId="7701E887">
            <w:pPr>
              <w:pStyle w:val="41"/>
              <w:widowControl/>
              <w:rPr>
                <w:sz w:val="18"/>
                <w:szCs w:val="18"/>
                <w:lang w:val="en-US"/>
              </w:rPr>
            </w:pPr>
          </w:p>
        </w:tc>
        <w:tc>
          <w:tcPr>
            <w:tcW w:w="12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AE3B99">
            <w:pPr>
              <w:keepNext w:val="0"/>
              <w:keepLines w:val="0"/>
              <w:suppressLineNumbers w:val="0"/>
              <w:spacing w:before="0" w:beforeAutospacing="0" w:after="0" w:afterAutospacing="0"/>
              <w:ind w:left="0" w:right="0"/>
              <w:rPr>
                <w:rFonts w:hint="default" w:ascii="Times New Roman" w:hAnsi="Times New Roman" w:eastAsia="Times New Roman" w:cs="Times New Roman"/>
                <w:sz w:val="20"/>
                <w:szCs w:val="20"/>
              </w:rPr>
            </w:pP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4D2901FB">
            <w:pPr>
              <w:pStyle w:val="41"/>
              <w:widowControl/>
              <w:rPr>
                <w:sz w:val="18"/>
                <w:szCs w:val="18"/>
                <w:lang w:val="en-US"/>
              </w:rPr>
            </w:pPr>
            <w:r>
              <w:rPr>
                <w:sz w:val="18"/>
                <w:szCs w:val="18"/>
              </w:rPr>
              <w:t xml:space="preserve">抗冲击 </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14:paraId="75E6ED5D">
            <w:pPr>
              <w:pStyle w:val="41"/>
              <w:widowControl/>
              <w:rPr>
                <w:sz w:val="18"/>
                <w:szCs w:val="18"/>
              </w:rPr>
            </w:pPr>
            <w:r>
              <w:rPr>
                <w:rFonts w:hint="eastAsia"/>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7C87C686">
            <w:pPr>
              <w:pStyle w:val="41"/>
              <w:widowControl/>
              <w:rPr>
                <w:sz w:val="18"/>
                <w:szCs w:val="18"/>
                <w:lang w:val="en-US"/>
              </w:rPr>
            </w:pPr>
            <w:r>
              <w:rPr>
                <w:sz w:val="18"/>
                <w:szCs w:val="18"/>
                <w:lang w:val="en-US"/>
              </w:rPr>
              <w:t>4</w:t>
            </w:r>
            <w:r>
              <w:rPr>
                <w:sz w:val="18"/>
                <w:szCs w:val="18"/>
              </w:rPr>
              <w:t>级或优于</w:t>
            </w:r>
            <w:r>
              <w:rPr>
                <w:sz w:val="18"/>
                <w:szCs w:val="18"/>
                <w:lang w:val="en-US"/>
              </w:rPr>
              <w:t>4</w:t>
            </w:r>
            <w:r>
              <w:rPr>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39337D99">
            <w:pPr>
              <w:pStyle w:val="41"/>
              <w:widowControl/>
              <w:rPr>
                <w:rFonts w:hint="eastAsia" w:eastAsia="宋体"/>
                <w:sz w:val="18"/>
                <w:szCs w:val="18"/>
                <w:lang w:val="en-US" w:eastAsia="zh-CN"/>
              </w:rPr>
            </w:pPr>
            <w:r>
              <w:rPr>
                <w:rFonts w:hint="eastAsia"/>
                <w:sz w:val="18"/>
                <w:szCs w:val="18"/>
                <w:lang w:val="en-US" w:eastAsia="zh-CN"/>
              </w:rPr>
              <w:t>2</w:t>
            </w:r>
          </w:p>
        </w:tc>
      </w:tr>
      <w:tr w14:paraId="6B81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33" w:hRule="atLeast"/>
        </w:trPr>
        <w:tc>
          <w:tcPr>
            <w:tcW w:w="704" w:type="dxa"/>
            <w:vMerge w:val="continue"/>
            <w:tcBorders>
              <w:left w:val="single" w:color="auto" w:sz="4" w:space="0"/>
              <w:right w:val="single" w:color="auto" w:sz="4" w:space="0"/>
            </w:tcBorders>
            <w:shd w:val="clear" w:color="auto" w:fill="auto"/>
            <w:vAlign w:val="center"/>
          </w:tcPr>
          <w:p w14:paraId="3AB2F49C">
            <w:pPr>
              <w:pStyle w:val="41"/>
              <w:widowControl/>
              <w:rPr>
                <w:sz w:val="18"/>
                <w:szCs w:val="18"/>
                <w:lang w:val="en-US"/>
              </w:rPr>
            </w:pPr>
          </w:p>
        </w:tc>
        <w:tc>
          <w:tcPr>
            <w:tcW w:w="12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6F06537">
            <w:pPr>
              <w:keepNext w:val="0"/>
              <w:keepLines w:val="0"/>
              <w:suppressLineNumbers w:val="0"/>
              <w:spacing w:before="0" w:beforeAutospacing="0" w:after="0" w:afterAutospacing="0"/>
              <w:ind w:left="0" w:right="0"/>
              <w:rPr>
                <w:rFonts w:hint="default" w:ascii="Times New Roman" w:hAnsi="Times New Roman" w:eastAsia="Times New Roman" w:cs="Times New Roman"/>
                <w:sz w:val="20"/>
                <w:szCs w:val="20"/>
              </w:rPr>
            </w:pP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1FE6DB4B">
            <w:pPr>
              <w:pStyle w:val="41"/>
              <w:widowControl/>
              <w:rPr>
                <w:sz w:val="18"/>
                <w:szCs w:val="18"/>
                <w:lang w:val="en-US"/>
              </w:rPr>
            </w:pPr>
            <w:r>
              <w:rPr>
                <w:sz w:val="18"/>
                <w:szCs w:val="18"/>
              </w:rPr>
              <w:t>耐黄变</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14:paraId="38552A81">
            <w:pPr>
              <w:pStyle w:val="41"/>
              <w:widowControl/>
              <w:rPr>
                <w:sz w:val="18"/>
                <w:szCs w:val="18"/>
              </w:rPr>
            </w:pPr>
            <w:r>
              <w:rPr>
                <w:rFonts w:hint="eastAsia"/>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4AED77F4">
            <w:pPr>
              <w:pStyle w:val="41"/>
              <w:widowControl/>
              <w:rPr>
                <w:sz w:val="18"/>
                <w:szCs w:val="18"/>
                <w:lang w:val="en-US"/>
              </w:rPr>
            </w:pPr>
            <w:r>
              <w:rPr>
                <w:sz w:val="18"/>
                <w:szCs w:val="18"/>
              </w:rPr>
              <w:t>蓝色羊毛布</w:t>
            </w:r>
            <w:r>
              <w:rPr>
                <w:sz w:val="18"/>
                <w:szCs w:val="18"/>
                <w:lang w:val="en-US"/>
              </w:rPr>
              <w:t>6</w:t>
            </w:r>
            <w:r>
              <w:rPr>
                <w:sz w:val="18"/>
                <w:szCs w:val="18"/>
              </w:rPr>
              <w:t>级，达到灰度卡≥</w:t>
            </w:r>
            <w:r>
              <w:rPr>
                <w:sz w:val="18"/>
                <w:szCs w:val="18"/>
                <w:lang w:val="en-US"/>
              </w:rPr>
              <w:t>4</w:t>
            </w:r>
            <w:r>
              <w:rPr>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775CDAD1">
            <w:pPr>
              <w:pStyle w:val="41"/>
              <w:widowControl/>
              <w:rPr>
                <w:rFonts w:hint="eastAsia" w:eastAsia="宋体"/>
                <w:sz w:val="18"/>
                <w:szCs w:val="18"/>
                <w:lang w:val="en-US" w:eastAsia="zh-CN"/>
              </w:rPr>
            </w:pPr>
            <w:r>
              <w:rPr>
                <w:rFonts w:hint="eastAsia"/>
                <w:sz w:val="18"/>
                <w:szCs w:val="18"/>
                <w:lang w:val="en-US" w:eastAsia="zh-CN"/>
              </w:rPr>
              <w:t>4</w:t>
            </w:r>
          </w:p>
        </w:tc>
      </w:tr>
      <w:tr w14:paraId="7012D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33" w:hRule="atLeast"/>
        </w:trPr>
        <w:tc>
          <w:tcPr>
            <w:tcW w:w="704" w:type="dxa"/>
            <w:vMerge w:val="restart"/>
            <w:tcBorders>
              <w:left w:val="single" w:color="auto" w:sz="4" w:space="0"/>
              <w:right w:val="single" w:color="auto" w:sz="4" w:space="0"/>
            </w:tcBorders>
            <w:shd w:val="clear" w:color="auto" w:fill="auto"/>
            <w:vAlign w:val="center"/>
          </w:tcPr>
          <w:p w14:paraId="5086FB5A">
            <w:pPr>
              <w:pStyle w:val="41"/>
              <w:widowControl/>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样品2</w:t>
            </w:r>
          </w:p>
          <w:p w14:paraId="525BA6F0">
            <w:pPr>
              <w:pStyle w:val="41"/>
              <w:widowControl/>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学习桌</w:t>
            </w:r>
          </w:p>
        </w:tc>
        <w:tc>
          <w:tcPr>
            <w:tcW w:w="1257" w:type="dxa"/>
            <w:vMerge w:val="restart"/>
            <w:tcBorders>
              <w:top w:val="single" w:color="auto" w:sz="4" w:space="0"/>
              <w:left w:val="single" w:color="auto" w:sz="4" w:space="0"/>
              <w:right w:val="single" w:color="auto" w:sz="4" w:space="0"/>
            </w:tcBorders>
            <w:shd w:val="clear" w:color="auto" w:fill="auto"/>
            <w:vAlign w:val="center"/>
          </w:tcPr>
          <w:p w14:paraId="542B15CA">
            <w:pPr>
              <w:pStyle w:val="41"/>
              <w:widowControl/>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木制件表面理化性能-软硬质覆面</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58DA110A">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default"/>
                <w:sz w:val="18"/>
                <w:szCs w:val="18"/>
              </w:rPr>
            </w:pPr>
            <w:r>
              <w:rPr>
                <w:rFonts w:hint="eastAsia" w:ascii="宋体" w:hAnsi="宋体" w:eastAsia="宋体" w:cs="宋体"/>
                <w:color w:val="000000"/>
                <w:kern w:val="0"/>
                <w:sz w:val="18"/>
                <w:szCs w:val="18"/>
                <w:lang w:val="en-US" w:eastAsia="zh-CN" w:bidi="ar"/>
              </w:rPr>
              <w:t>耐冷热循环</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14:paraId="3C4FBEB4">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eastAsia"/>
                <w:sz w:val="18"/>
                <w:szCs w:val="18"/>
              </w:rPr>
            </w:pPr>
            <w:r>
              <w:rPr>
                <w:rFonts w:hint="eastAsia"/>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126E5D4F">
            <w:pPr>
              <w:pStyle w:val="41"/>
              <w:widowControl/>
              <w:rPr>
                <w:sz w:val="18"/>
                <w:szCs w:val="18"/>
              </w:rPr>
            </w:pPr>
            <w:r>
              <w:rPr>
                <w:rFonts w:hint="eastAsia" w:ascii="宋体" w:hAnsi="宋体" w:eastAsia="宋体" w:cs="宋体"/>
                <w:color w:val="000000"/>
                <w:kern w:val="0"/>
                <w:sz w:val="18"/>
                <w:szCs w:val="18"/>
                <w:lang w:val="en-US" w:eastAsia="zh-CN" w:bidi="ar"/>
              </w:rPr>
              <w:t>无裂缝、开裂、起皱、鼓泡现象</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0330BF5B">
            <w:pPr>
              <w:pStyle w:val="41"/>
              <w:widowControl/>
              <w:rPr>
                <w:rFonts w:hint="eastAsia"/>
                <w:sz w:val="18"/>
                <w:szCs w:val="18"/>
                <w:lang w:val="en-US" w:eastAsia="zh-CN"/>
              </w:rPr>
            </w:pPr>
            <w:r>
              <w:rPr>
                <w:rFonts w:hint="eastAsia"/>
                <w:sz w:val="18"/>
                <w:szCs w:val="18"/>
                <w:lang w:val="en-US" w:eastAsia="zh-CN"/>
              </w:rPr>
              <w:t>无裂缝、开裂、起皱、鼓泡现象</w:t>
            </w:r>
          </w:p>
        </w:tc>
      </w:tr>
      <w:tr w14:paraId="6871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33" w:hRule="atLeast"/>
        </w:trPr>
        <w:tc>
          <w:tcPr>
            <w:tcW w:w="704" w:type="dxa"/>
            <w:vMerge w:val="continue"/>
            <w:tcBorders>
              <w:left w:val="single" w:color="auto" w:sz="4" w:space="0"/>
              <w:right w:val="single" w:color="auto" w:sz="4" w:space="0"/>
            </w:tcBorders>
            <w:shd w:val="clear" w:color="auto" w:fill="auto"/>
            <w:vAlign w:val="center"/>
          </w:tcPr>
          <w:p w14:paraId="08403299">
            <w:pPr>
              <w:pStyle w:val="41"/>
              <w:widowControl/>
              <w:rPr>
                <w:sz w:val="18"/>
                <w:szCs w:val="18"/>
                <w:lang w:val="en-US"/>
              </w:rPr>
            </w:pPr>
          </w:p>
        </w:tc>
        <w:tc>
          <w:tcPr>
            <w:tcW w:w="1257" w:type="dxa"/>
            <w:vMerge w:val="continue"/>
            <w:tcBorders>
              <w:left w:val="single" w:color="auto" w:sz="4" w:space="0"/>
              <w:right w:val="single" w:color="auto" w:sz="4" w:space="0"/>
            </w:tcBorders>
            <w:shd w:val="clear" w:color="auto" w:fill="auto"/>
            <w:vAlign w:val="center"/>
          </w:tcPr>
          <w:p w14:paraId="412281D9">
            <w:pPr>
              <w:keepNext w:val="0"/>
              <w:keepLines w:val="0"/>
              <w:suppressLineNumbers w:val="0"/>
              <w:spacing w:before="0" w:beforeAutospacing="0" w:after="0" w:afterAutospacing="0"/>
              <w:ind w:left="0" w:right="0"/>
              <w:rPr>
                <w:rFonts w:hint="default" w:ascii="Times New Roman" w:hAnsi="Times New Roman" w:eastAsia="Times New Roman" w:cs="Times New Roman"/>
                <w:sz w:val="20"/>
                <w:szCs w:val="20"/>
              </w:rPr>
            </w:pP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312D438F">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default"/>
                <w:sz w:val="18"/>
                <w:szCs w:val="18"/>
              </w:rPr>
            </w:pPr>
            <w:r>
              <w:rPr>
                <w:rFonts w:hint="eastAsia" w:ascii="宋体" w:hAnsi="宋体" w:eastAsia="宋体" w:cs="宋体"/>
                <w:color w:val="000000"/>
                <w:kern w:val="0"/>
                <w:sz w:val="18"/>
                <w:szCs w:val="18"/>
                <w:lang w:val="en-US" w:eastAsia="zh-CN" w:bidi="ar"/>
              </w:rPr>
              <w:t>耐干热</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14:paraId="6132F69F">
            <w:pPr>
              <w:keepNext w:val="0"/>
              <w:keepLines w:val="0"/>
              <w:widowControl w:val="0"/>
              <w:suppressLineNumbers w:val="0"/>
              <w:adjustRightInd w:val="0"/>
              <w:spacing w:before="0" w:beforeAutospacing="0" w:after="0" w:afterAutospacing="0" w:line="400" w:lineRule="exact"/>
              <w:ind w:left="0" w:leftChars="0" w:right="0" w:rightChars="0"/>
              <w:jc w:val="center"/>
              <w:rPr>
                <w:rFonts w:hint="eastAsia"/>
                <w:sz w:val="18"/>
                <w:szCs w:val="18"/>
              </w:rPr>
            </w:pPr>
            <w:r>
              <w:rPr>
                <w:rFonts w:hint="eastAsia"/>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32030035">
            <w:pPr>
              <w:pStyle w:val="41"/>
              <w:widowControl/>
              <w:rPr>
                <w:sz w:val="18"/>
                <w:szCs w:val="18"/>
              </w:rPr>
            </w:pPr>
            <w:r>
              <w:rPr>
                <w:rFonts w:hint="eastAsia" w:ascii="宋体" w:hAnsi="宋体" w:eastAsia="宋体" w:cs="宋体"/>
                <w:color w:val="000000"/>
                <w:spacing w:val="-2"/>
                <w:kern w:val="2"/>
                <w:sz w:val="18"/>
                <w:szCs w:val="18"/>
                <w:lang w:val="en-US" w:eastAsia="zh-CN" w:bidi="ar"/>
              </w:rPr>
              <w:t>3级或优于3级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601785B7">
            <w:pPr>
              <w:pStyle w:val="41"/>
              <w:widowControl/>
              <w:rPr>
                <w:rFonts w:hint="default"/>
                <w:sz w:val="18"/>
                <w:szCs w:val="18"/>
                <w:lang w:val="en-US" w:eastAsia="zh-CN"/>
              </w:rPr>
            </w:pPr>
            <w:r>
              <w:rPr>
                <w:rFonts w:hint="eastAsia"/>
                <w:sz w:val="18"/>
                <w:szCs w:val="18"/>
                <w:lang w:val="en-US" w:eastAsia="zh-CN"/>
              </w:rPr>
              <w:t>1</w:t>
            </w:r>
          </w:p>
        </w:tc>
      </w:tr>
      <w:tr w14:paraId="6EC3C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33" w:hRule="atLeast"/>
        </w:trPr>
        <w:tc>
          <w:tcPr>
            <w:tcW w:w="704" w:type="dxa"/>
            <w:vMerge w:val="continue"/>
            <w:tcBorders>
              <w:left w:val="single" w:color="auto" w:sz="4" w:space="0"/>
              <w:right w:val="single" w:color="auto" w:sz="4" w:space="0"/>
            </w:tcBorders>
            <w:shd w:val="clear" w:color="auto" w:fill="auto"/>
            <w:vAlign w:val="center"/>
          </w:tcPr>
          <w:p w14:paraId="290B236E">
            <w:pPr>
              <w:pStyle w:val="41"/>
              <w:widowControl/>
              <w:rPr>
                <w:sz w:val="18"/>
                <w:szCs w:val="18"/>
                <w:lang w:val="en-US"/>
              </w:rPr>
            </w:pPr>
          </w:p>
        </w:tc>
        <w:tc>
          <w:tcPr>
            <w:tcW w:w="1257" w:type="dxa"/>
            <w:vMerge w:val="continue"/>
            <w:tcBorders>
              <w:left w:val="single" w:color="auto" w:sz="4" w:space="0"/>
              <w:right w:val="single" w:color="auto" w:sz="4" w:space="0"/>
            </w:tcBorders>
            <w:shd w:val="clear" w:color="auto" w:fill="auto"/>
            <w:vAlign w:val="center"/>
          </w:tcPr>
          <w:p w14:paraId="65096369">
            <w:pPr>
              <w:keepNext w:val="0"/>
              <w:keepLines w:val="0"/>
              <w:suppressLineNumbers w:val="0"/>
              <w:spacing w:before="0" w:beforeAutospacing="0" w:after="0" w:afterAutospacing="0"/>
              <w:ind w:left="0" w:right="0"/>
              <w:rPr>
                <w:rFonts w:hint="default" w:ascii="Times New Roman" w:hAnsi="Times New Roman" w:eastAsia="Times New Roman" w:cs="Times New Roman"/>
                <w:sz w:val="20"/>
                <w:szCs w:val="20"/>
              </w:rPr>
            </w:pP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1F69AF5F">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default"/>
                <w:sz w:val="18"/>
                <w:szCs w:val="18"/>
              </w:rPr>
            </w:pPr>
            <w:r>
              <w:rPr>
                <w:rFonts w:hint="eastAsia" w:ascii="宋体" w:hAnsi="宋体" w:eastAsia="宋体" w:cs="宋体"/>
                <w:color w:val="000000"/>
                <w:kern w:val="0"/>
                <w:sz w:val="18"/>
                <w:szCs w:val="18"/>
                <w:lang w:val="en-US" w:eastAsia="zh-CN" w:bidi="ar"/>
              </w:rPr>
              <w:t>耐湿热</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14:paraId="5CF9BEFF">
            <w:pPr>
              <w:keepNext w:val="0"/>
              <w:keepLines w:val="0"/>
              <w:widowControl w:val="0"/>
              <w:suppressLineNumbers w:val="0"/>
              <w:adjustRightInd w:val="0"/>
              <w:spacing w:before="0" w:beforeAutospacing="0" w:after="0" w:afterAutospacing="0" w:line="400" w:lineRule="exact"/>
              <w:ind w:left="0" w:leftChars="0" w:right="0" w:rightChars="0"/>
              <w:jc w:val="center"/>
              <w:rPr>
                <w:rFonts w:hint="eastAsia"/>
                <w:sz w:val="18"/>
                <w:szCs w:val="18"/>
              </w:rPr>
            </w:pPr>
            <w:r>
              <w:rPr>
                <w:rFonts w:hint="eastAsia"/>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3316B081">
            <w:pPr>
              <w:pStyle w:val="41"/>
              <w:widowControl/>
              <w:rPr>
                <w:sz w:val="18"/>
                <w:szCs w:val="18"/>
              </w:rPr>
            </w:pPr>
            <w:r>
              <w:rPr>
                <w:rFonts w:hint="eastAsia" w:ascii="宋体" w:hAnsi="宋体" w:eastAsia="宋体" w:cs="宋体"/>
                <w:color w:val="000000"/>
                <w:spacing w:val="-2"/>
                <w:kern w:val="2"/>
                <w:sz w:val="18"/>
                <w:szCs w:val="18"/>
                <w:lang w:val="en-US" w:eastAsia="zh-CN" w:bidi="ar"/>
              </w:rPr>
              <w:t>3级或优于3级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274BC010">
            <w:pPr>
              <w:pStyle w:val="41"/>
              <w:widowControl/>
              <w:rPr>
                <w:rFonts w:hint="default"/>
                <w:sz w:val="18"/>
                <w:szCs w:val="18"/>
                <w:lang w:val="en-US" w:eastAsia="zh-CN"/>
              </w:rPr>
            </w:pPr>
            <w:r>
              <w:rPr>
                <w:rFonts w:hint="eastAsia"/>
                <w:sz w:val="18"/>
                <w:szCs w:val="18"/>
                <w:lang w:val="en-US" w:eastAsia="zh-CN"/>
              </w:rPr>
              <w:t>1</w:t>
            </w:r>
          </w:p>
        </w:tc>
      </w:tr>
      <w:tr w14:paraId="5183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33" w:hRule="atLeast"/>
        </w:trPr>
        <w:tc>
          <w:tcPr>
            <w:tcW w:w="704" w:type="dxa"/>
            <w:vMerge w:val="continue"/>
            <w:tcBorders>
              <w:left w:val="single" w:color="auto" w:sz="4" w:space="0"/>
              <w:right w:val="single" w:color="auto" w:sz="4" w:space="0"/>
            </w:tcBorders>
            <w:shd w:val="clear" w:color="auto" w:fill="auto"/>
            <w:vAlign w:val="center"/>
          </w:tcPr>
          <w:p w14:paraId="1637903D">
            <w:pPr>
              <w:pStyle w:val="41"/>
              <w:widowControl/>
              <w:rPr>
                <w:sz w:val="18"/>
                <w:szCs w:val="18"/>
                <w:lang w:val="en-US"/>
              </w:rPr>
            </w:pPr>
          </w:p>
        </w:tc>
        <w:tc>
          <w:tcPr>
            <w:tcW w:w="1257" w:type="dxa"/>
            <w:vMerge w:val="continue"/>
            <w:tcBorders>
              <w:left w:val="single" w:color="auto" w:sz="4" w:space="0"/>
              <w:right w:val="single" w:color="auto" w:sz="4" w:space="0"/>
            </w:tcBorders>
            <w:shd w:val="clear" w:color="auto" w:fill="auto"/>
            <w:vAlign w:val="center"/>
          </w:tcPr>
          <w:p w14:paraId="187A488E">
            <w:pPr>
              <w:keepNext w:val="0"/>
              <w:keepLines w:val="0"/>
              <w:suppressLineNumbers w:val="0"/>
              <w:spacing w:before="0" w:beforeAutospacing="0" w:after="0" w:afterAutospacing="0"/>
              <w:ind w:left="0" w:right="0"/>
              <w:rPr>
                <w:rFonts w:hint="default" w:ascii="Times New Roman" w:hAnsi="Times New Roman" w:eastAsia="Times New Roman" w:cs="Times New Roman"/>
                <w:sz w:val="20"/>
                <w:szCs w:val="20"/>
              </w:rPr>
            </w:pPr>
          </w:p>
        </w:tc>
        <w:tc>
          <w:tcPr>
            <w:tcW w:w="21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8F9A15">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eastAsia"/>
                <w:sz w:val="18"/>
                <w:szCs w:val="18"/>
              </w:rPr>
            </w:pPr>
            <w:r>
              <w:rPr>
                <w:rFonts w:hint="eastAsia" w:ascii="宋体" w:hAnsi="宋体" w:cs="宋体"/>
                <w:color w:val="000000"/>
                <w:kern w:val="0"/>
                <w:sz w:val="18"/>
                <w:szCs w:val="18"/>
                <w:lang w:val="en-US" w:eastAsia="zh-CN" w:bidi="ar"/>
              </w:rPr>
              <w:t>耐划痕</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0E916525">
            <w:pPr>
              <w:pStyle w:val="41"/>
              <w:widowControl/>
              <w:rPr>
                <w:rFonts w:hint="default" w:ascii="宋体" w:hAnsi="宋体" w:eastAsia="宋体" w:cs="宋体"/>
                <w:color w:val="000000"/>
                <w:spacing w:val="-2"/>
                <w:kern w:val="0"/>
                <w:sz w:val="18"/>
                <w:szCs w:val="18"/>
                <w:lang w:val="en-US" w:eastAsia="zh-CN" w:bidi="ar"/>
              </w:rPr>
            </w:pPr>
            <w:r>
              <w:rPr>
                <w:rFonts w:hint="eastAsia" w:ascii="宋体" w:hAnsi="宋体" w:eastAsia="宋体" w:cs="宋体"/>
                <w:color w:val="000000"/>
                <w:spacing w:val="-2"/>
                <w:kern w:val="0"/>
                <w:sz w:val="18"/>
                <w:szCs w:val="18"/>
                <w:lang w:val="en-US" w:eastAsia="zh-CN" w:bidi="ar"/>
              </w:rPr>
              <w:t>试件表面无整圈划痕</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3B3C0E50">
            <w:pPr>
              <w:pStyle w:val="41"/>
              <w:widowControl/>
              <w:rPr>
                <w:rFonts w:hint="eastAsia"/>
                <w:sz w:val="18"/>
                <w:szCs w:val="18"/>
                <w:lang w:val="en-US" w:eastAsia="zh-CN"/>
              </w:rPr>
            </w:pPr>
            <w:r>
              <w:rPr>
                <w:rFonts w:hint="eastAsia"/>
                <w:sz w:val="18"/>
                <w:szCs w:val="18"/>
                <w:lang w:val="en-US" w:eastAsia="zh-CN"/>
              </w:rPr>
              <w:t>试件表面无整圈划痕</w:t>
            </w:r>
          </w:p>
        </w:tc>
      </w:tr>
      <w:tr w14:paraId="51A4C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33" w:hRule="atLeast"/>
        </w:trPr>
        <w:tc>
          <w:tcPr>
            <w:tcW w:w="704" w:type="dxa"/>
            <w:vMerge w:val="continue"/>
            <w:tcBorders>
              <w:left w:val="single" w:color="auto" w:sz="4" w:space="0"/>
              <w:right w:val="single" w:color="auto" w:sz="4" w:space="0"/>
            </w:tcBorders>
            <w:shd w:val="clear" w:color="auto" w:fill="auto"/>
            <w:vAlign w:val="center"/>
          </w:tcPr>
          <w:p w14:paraId="198A6D0C">
            <w:pPr>
              <w:pStyle w:val="41"/>
              <w:widowControl/>
              <w:rPr>
                <w:sz w:val="18"/>
                <w:szCs w:val="18"/>
                <w:lang w:val="en-US"/>
              </w:rPr>
            </w:pPr>
          </w:p>
        </w:tc>
        <w:tc>
          <w:tcPr>
            <w:tcW w:w="1257" w:type="dxa"/>
            <w:vMerge w:val="continue"/>
            <w:tcBorders>
              <w:left w:val="single" w:color="auto" w:sz="4" w:space="0"/>
              <w:right w:val="single" w:color="auto" w:sz="4" w:space="0"/>
            </w:tcBorders>
            <w:shd w:val="clear" w:color="auto" w:fill="auto"/>
            <w:vAlign w:val="center"/>
          </w:tcPr>
          <w:p w14:paraId="1230D398">
            <w:pPr>
              <w:keepNext w:val="0"/>
              <w:keepLines w:val="0"/>
              <w:suppressLineNumbers w:val="0"/>
              <w:spacing w:before="0" w:beforeAutospacing="0" w:after="0" w:afterAutospacing="0"/>
              <w:ind w:left="0" w:right="0"/>
              <w:rPr>
                <w:rFonts w:hint="default" w:ascii="Times New Roman" w:hAnsi="Times New Roman" w:eastAsia="Times New Roman" w:cs="Times New Roman"/>
                <w:sz w:val="20"/>
                <w:szCs w:val="20"/>
              </w:rPr>
            </w:pP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26861EDA">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default"/>
                <w:sz w:val="18"/>
                <w:szCs w:val="18"/>
              </w:rPr>
            </w:pPr>
            <w:r>
              <w:rPr>
                <w:rFonts w:hint="eastAsia" w:ascii="宋体" w:hAnsi="宋体" w:eastAsia="宋体" w:cs="宋体"/>
                <w:color w:val="000000"/>
                <w:kern w:val="0"/>
                <w:sz w:val="18"/>
                <w:szCs w:val="18"/>
                <w:lang w:val="en-US" w:eastAsia="zh-CN" w:bidi="ar"/>
              </w:rPr>
              <w:t>耐污染</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14:paraId="1D2A5E5B">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eastAsia"/>
                <w:sz w:val="18"/>
                <w:szCs w:val="18"/>
              </w:rPr>
            </w:pPr>
            <w:r>
              <w:rPr>
                <w:rFonts w:hint="eastAsia"/>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2A3E3E4C">
            <w:pPr>
              <w:pStyle w:val="41"/>
              <w:widowControl/>
              <w:rPr>
                <w:sz w:val="18"/>
                <w:szCs w:val="18"/>
              </w:rPr>
            </w:pPr>
            <w:r>
              <w:rPr>
                <w:rFonts w:hint="eastAsia" w:ascii="宋体" w:hAnsi="宋体" w:eastAsia="宋体" w:cs="宋体"/>
                <w:color w:val="000000"/>
                <w:spacing w:val="-2"/>
                <w:kern w:val="0"/>
                <w:sz w:val="18"/>
                <w:szCs w:val="18"/>
                <w:lang w:val="en-US" w:eastAsia="zh-CN" w:bidi="ar"/>
              </w:rPr>
              <w:t>3级或优于3级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04D8E5FF">
            <w:pPr>
              <w:pStyle w:val="41"/>
              <w:widowControl/>
              <w:rPr>
                <w:rFonts w:hint="default"/>
                <w:sz w:val="18"/>
                <w:szCs w:val="18"/>
                <w:lang w:val="en-US" w:eastAsia="zh-CN"/>
              </w:rPr>
            </w:pPr>
            <w:r>
              <w:rPr>
                <w:rFonts w:hint="eastAsia"/>
                <w:sz w:val="18"/>
                <w:szCs w:val="18"/>
                <w:lang w:val="en-US" w:eastAsia="zh-CN"/>
              </w:rPr>
              <w:t>5</w:t>
            </w:r>
          </w:p>
        </w:tc>
      </w:tr>
      <w:tr w14:paraId="7481A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46" w:hRule="atLeast"/>
        </w:trPr>
        <w:tc>
          <w:tcPr>
            <w:tcW w:w="704" w:type="dxa"/>
            <w:vMerge w:val="continue"/>
            <w:tcBorders>
              <w:left w:val="single" w:color="auto" w:sz="4" w:space="0"/>
              <w:right w:val="single" w:color="auto" w:sz="4" w:space="0"/>
            </w:tcBorders>
            <w:shd w:val="clear" w:color="auto" w:fill="auto"/>
            <w:vAlign w:val="center"/>
          </w:tcPr>
          <w:p w14:paraId="09591DE5">
            <w:pPr>
              <w:pStyle w:val="41"/>
              <w:widowControl/>
              <w:rPr>
                <w:sz w:val="18"/>
                <w:szCs w:val="18"/>
                <w:lang w:val="en-US"/>
              </w:rPr>
            </w:pPr>
          </w:p>
        </w:tc>
        <w:tc>
          <w:tcPr>
            <w:tcW w:w="1257" w:type="dxa"/>
            <w:vMerge w:val="continue"/>
            <w:tcBorders>
              <w:left w:val="single" w:color="auto" w:sz="4" w:space="0"/>
              <w:right w:val="single" w:color="auto" w:sz="4" w:space="0"/>
            </w:tcBorders>
            <w:shd w:val="clear" w:color="auto" w:fill="auto"/>
            <w:vAlign w:val="center"/>
          </w:tcPr>
          <w:p w14:paraId="62B9ED50">
            <w:pPr>
              <w:keepNext w:val="0"/>
              <w:keepLines w:val="0"/>
              <w:suppressLineNumbers w:val="0"/>
              <w:spacing w:before="0" w:beforeAutospacing="0" w:after="0" w:afterAutospacing="0"/>
              <w:ind w:left="0" w:right="0"/>
              <w:rPr>
                <w:rFonts w:hint="default" w:ascii="Times New Roman" w:hAnsi="Times New Roman" w:eastAsia="Times New Roman" w:cs="Times New Roman"/>
                <w:sz w:val="20"/>
                <w:szCs w:val="20"/>
              </w:rPr>
            </w:pP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2DB17B65">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default"/>
                <w:sz w:val="18"/>
                <w:szCs w:val="18"/>
              </w:rPr>
            </w:pPr>
            <w:r>
              <w:rPr>
                <w:rFonts w:hint="eastAsia" w:ascii="等线" w:hAnsi="等线" w:eastAsia="等线" w:cs="等线"/>
                <w:color w:val="000000"/>
                <w:kern w:val="0"/>
                <w:sz w:val="18"/>
                <w:szCs w:val="18"/>
                <w:lang w:val="en-US" w:eastAsia="zh-CN" w:bidi="ar"/>
              </w:rPr>
              <w:t>耐磨性</w:t>
            </w:r>
          </w:p>
        </w:tc>
        <w:tc>
          <w:tcPr>
            <w:tcW w:w="1051" w:type="dxa"/>
            <w:tcBorders>
              <w:top w:val="single" w:color="auto" w:sz="4" w:space="0"/>
              <w:left w:val="single" w:color="auto" w:sz="4" w:space="0"/>
              <w:right w:val="single" w:color="auto" w:sz="4" w:space="0"/>
            </w:tcBorders>
            <w:shd w:val="clear" w:color="auto" w:fill="auto"/>
            <w:vAlign w:val="center"/>
          </w:tcPr>
          <w:p w14:paraId="24C9D179">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eastAsia"/>
                <w:sz w:val="18"/>
                <w:szCs w:val="18"/>
                <w:lang w:val="en-US" w:eastAsia="zh-CN"/>
              </w:rPr>
            </w:pPr>
            <w:r>
              <w:rPr>
                <w:rFonts w:hint="eastAsia"/>
                <w:sz w:val="18"/>
                <w:szCs w:val="18"/>
                <w:lang w:val="en-US" w:eastAsia="zh-CN"/>
              </w:rPr>
              <w:t>级</w:t>
            </w:r>
          </w:p>
        </w:tc>
        <w:tc>
          <w:tcPr>
            <w:tcW w:w="2249" w:type="dxa"/>
            <w:tcBorders>
              <w:top w:val="single" w:color="auto" w:sz="4" w:space="0"/>
              <w:left w:val="single" w:color="auto" w:sz="4" w:space="0"/>
              <w:right w:val="single" w:color="auto" w:sz="4" w:space="0"/>
            </w:tcBorders>
            <w:shd w:val="clear" w:color="auto" w:fill="auto"/>
            <w:vAlign w:val="center"/>
          </w:tcPr>
          <w:p w14:paraId="64E72BD3">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eastAsia"/>
                <w:sz w:val="18"/>
                <w:szCs w:val="18"/>
                <w:lang w:val="en-US" w:eastAsia="zh-CN"/>
              </w:rPr>
            </w:pPr>
            <w:r>
              <w:rPr>
                <w:rFonts w:hint="eastAsia"/>
                <w:sz w:val="18"/>
                <w:szCs w:val="18"/>
                <w:lang w:val="en-US" w:eastAsia="zh-CN"/>
              </w:rPr>
              <w:t>3级或优于3级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3BC45B48">
            <w:pPr>
              <w:pStyle w:val="41"/>
              <w:widowControl/>
              <w:rPr>
                <w:rFonts w:hint="default"/>
                <w:sz w:val="18"/>
                <w:szCs w:val="18"/>
                <w:lang w:val="en-US" w:eastAsia="zh-CN"/>
              </w:rPr>
            </w:pPr>
            <w:r>
              <w:rPr>
                <w:rFonts w:hint="eastAsia"/>
                <w:sz w:val="18"/>
                <w:szCs w:val="18"/>
                <w:lang w:val="en-US" w:eastAsia="zh-CN"/>
              </w:rPr>
              <w:t>2</w:t>
            </w:r>
          </w:p>
        </w:tc>
      </w:tr>
      <w:tr w14:paraId="6F9ED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33" w:hRule="atLeast"/>
        </w:trPr>
        <w:tc>
          <w:tcPr>
            <w:tcW w:w="704" w:type="dxa"/>
            <w:vMerge w:val="continue"/>
            <w:tcBorders>
              <w:left w:val="single" w:color="auto" w:sz="4" w:space="0"/>
              <w:right w:val="single" w:color="auto" w:sz="4" w:space="0"/>
            </w:tcBorders>
            <w:shd w:val="clear" w:color="auto" w:fill="auto"/>
            <w:vAlign w:val="center"/>
          </w:tcPr>
          <w:p w14:paraId="53108DC0">
            <w:pPr>
              <w:pStyle w:val="41"/>
              <w:widowControl/>
              <w:rPr>
                <w:sz w:val="18"/>
                <w:szCs w:val="18"/>
                <w:lang w:val="en-US"/>
              </w:rPr>
            </w:pPr>
          </w:p>
        </w:tc>
        <w:tc>
          <w:tcPr>
            <w:tcW w:w="1257" w:type="dxa"/>
            <w:vMerge w:val="continue"/>
            <w:tcBorders>
              <w:left w:val="single" w:color="auto" w:sz="4" w:space="0"/>
              <w:right w:val="single" w:color="auto" w:sz="4" w:space="0"/>
            </w:tcBorders>
            <w:shd w:val="clear" w:color="auto" w:fill="auto"/>
            <w:vAlign w:val="center"/>
          </w:tcPr>
          <w:p w14:paraId="5EFBC817">
            <w:pPr>
              <w:keepNext w:val="0"/>
              <w:keepLines w:val="0"/>
              <w:suppressLineNumbers w:val="0"/>
              <w:spacing w:before="0" w:beforeAutospacing="0" w:after="0" w:afterAutospacing="0"/>
              <w:ind w:left="0" w:right="0"/>
              <w:rPr>
                <w:rFonts w:hint="default" w:ascii="Times New Roman" w:hAnsi="Times New Roman" w:eastAsia="Times New Roman" w:cs="Times New Roman"/>
                <w:sz w:val="20"/>
                <w:szCs w:val="20"/>
              </w:rPr>
            </w:pP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223F84EF">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default"/>
                <w:sz w:val="18"/>
                <w:szCs w:val="18"/>
              </w:rPr>
            </w:pPr>
            <w:r>
              <w:rPr>
                <w:rFonts w:hint="eastAsia" w:ascii="宋体" w:hAnsi="宋体" w:eastAsia="宋体" w:cs="宋体"/>
                <w:color w:val="000000"/>
                <w:kern w:val="0"/>
                <w:sz w:val="18"/>
                <w:szCs w:val="18"/>
                <w:lang w:val="en-US" w:eastAsia="zh-CN" w:bidi="ar"/>
              </w:rPr>
              <w:t>抗冲击</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14:paraId="31D5E2FA">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eastAsia"/>
                <w:sz w:val="18"/>
                <w:szCs w:val="18"/>
              </w:rPr>
            </w:pPr>
            <w:r>
              <w:rPr>
                <w:rFonts w:hint="eastAsia"/>
                <w:sz w:val="18"/>
                <w:szCs w:val="18"/>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31715B3F">
            <w:pPr>
              <w:pStyle w:val="41"/>
              <w:widowControl/>
              <w:rPr>
                <w:sz w:val="18"/>
                <w:szCs w:val="18"/>
              </w:rPr>
            </w:pPr>
            <w:r>
              <w:rPr>
                <w:rFonts w:hint="eastAsia" w:ascii="宋体" w:hAnsi="宋体" w:eastAsia="宋体" w:cs="宋体"/>
                <w:color w:val="000000"/>
                <w:kern w:val="0"/>
                <w:sz w:val="18"/>
                <w:szCs w:val="18"/>
                <w:lang w:val="en-US" w:eastAsia="zh-CN" w:bidi="ar"/>
              </w:rPr>
              <w:t>3级或优于3级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7DF084D1">
            <w:pPr>
              <w:pStyle w:val="41"/>
              <w:widowControl/>
              <w:rPr>
                <w:rFonts w:hint="default"/>
                <w:sz w:val="18"/>
                <w:szCs w:val="18"/>
                <w:lang w:val="en-US" w:eastAsia="zh-CN"/>
              </w:rPr>
            </w:pPr>
            <w:r>
              <w:rPr>
                <w:rFonts w:hint="eastAsia"/>
                <w:sz w:val="18"/>
                <w:szCs w:val="18"/>
                <w:lang w:val="en-US" w:eastAsia="zh-CN"/>
              </w:rPr>
              <w:t>2</w:t>
            </w:r>
          </w:p>
        </w:tc>
      </w:tr>
      <w:tr w14:paraId="03C40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33" w:hRule="atLeast"/>
        </w:trPr>
        <w:tc>
          <w:tcPr>
            <w:tcW w:w="704" w:type="dxa"/>
            <w:vMerge w:val="continue"/>
            <w:tcBorders>
              <w:left w:val="single" w:color="auto" w:sz="4" w:space="0"/>
              <w:right w:val="single" w:color="auto" w:sz="4" w:space="0"/>
            </w:tcBorders>
            <w:shd w:val="clear" w:color="auto" w:fill="auto"/>
            <w:vAlign w:val="center"/>
          </w:tcPr>
          <w:p w14:paraId="2F26B19C">
            <w:pPr>
              <w:pStyle w:val="41"/>
              <w:widowControl/>
              <w:rPr>
                <w:sz w:val="18"/>
                <w:szCs w:val="18"/>
                <w:lang w:val="en-US"/>
              </w:rPr>
            </w:pPr>
          </w:p>
        </w:tc>
        <w:tc>
          <w:tcPr>
            <w:tcW w:w="1257" w:type="dxa"/>
            <w:vMerge w:val="continue"/>
            <w:tcBorders>
              <w:left w:val="single" w:color="auto" w:sz="4" w:space="0"/>
              <w:right w:val="single" w:color="auto" w:sz="4" w:space="0"/>
            </w:tcBorders>
            <w:shd w:val="clear" w:color="auto" w:fill="auto"/>
            <w:vAlign w:val="center"/>
          </w:tcPr>
          <w:p w14:paraId="2D5536C8">
            <w:pPr>
              <w:keepNext w:val="0"/>
              <w:keepLines w:val="0"/>
              <w:suppressLineNumbers w:val="0"/>
              <w:spacing w:before="0" w:beforeAutospacing="0" w:after="0" w:afterAutospacing="0"/>
              <w:ind w:left="0" w:right="0"/>
              <w:rPr>
                <w:rFonts w:hint="default" w:ascii="Times New Roman" w:hAnsi="Times New Roman" w:eastAsia="Times New Roman" w:cs="Times New Roman"/>
                <w:sz w:val="20"/>
                <w:szCs w:val="20"/>
              </w:rPr>
            </w:pP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432DAE99">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耐光色牢度（灰色样卡）</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14:paraId="6FDDFD5F">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eastAsia" w:eastAsia="宋体"/>
                <w:sz w:val="18"/>
                <w:szCs w:val="18"/>
                <w:lang w:val="en-US" w:eastAsia="zh-CN"/>
              </w:rPr>
            </w:pPr>
            <w:r>
              <w:rPr>
                <w:rFonts w:hint="eastAsia"/>
                <w:sz w:val="18"/>
                <w:szCs w:val="18"/>
                <w:lang w:val="en-US" w:eastAsia="zh-CN"/>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5DCBB7DC">
            <w:pPr>
              <w:pStyle w:val="41"/>
              <w:widowControl/>
              <w:rPr>
                <w:rFonts w:hint="default"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≥4级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73A28842">
            <w:pPr>
              <w:pStyle w:val="41"/>
              <w:widowControl/>
              <w:rPr>
                <w:rFonts w:hint="default"/>
                <w:sz w:val="18"/>
                <w:szCs w:val="18"/>
                <w:lang w:val="en-US" w:eastAsia="zh-CN"/>
              </w:rPr>
            </w:pPr>
            <w:r>
              <w:rPr>
                <w:rFonts w:hint="eastAsia"/>
                <w:sz w:val="18"/>
                <w:szCs w:val="18"/>
                <w:lang w:val="en-US" w:eastAsia="zh-CN"/>
              </w:rPr>
              <w:t>＞4</w:t>
            </w:r>
          </w:p>
        </w:tc>
      </w:tr>
      <w:tr w14:paraId="393FC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33" w:hRule="atLeast"/>
        </w:trPr>
        <w:tc>
          <w:tcPr>
            <w:tcW w:w="704" w:type="dxa"/>
            <w:vMerge w:val="restart"/>
            <w:tcBorders>
              <w:left w:val="single" w:color="auto" w:sz="4" w:space="0"/>
              <w:right w:val="single" w:color="auto" w:sz="4" w:space="0"/>
            </w:tcBorders>
            <w:shd w:val="clear" w:color="auto" w:fill="auto"/>
            <w:vAlign w:val="center"/>
          </w:tcPr>
          <w:p w14:paraId="645C3479">
            <w:pPr>
              <w:pStyle w:val="41"/>
              <w:widowControl/>
              <w:rPr>
                <w:rFonts w:hint="eastAsia"/>
                <w:sz w:val="18"/>
                <w:szCs w:val="18"/>
                <w:lang w:val="en-US" w:eastAsia="zh-CN"/>
              </w:rPr>
            </w:pPr>
            <w:r>
              <w:rPr>
                <w:rFonts w:hint="eastAsia"/>
                <w:sz w:val="18"/>
                <w:szCs w:val="18"/>
                <w:lang w:val="en-US" w:eastAsia="zh-CN"/>
              </w:rPr>
              <w:t>样品3</w:t>
            </w:r>
          </w:p>
          <w:p w14:paraId="33B59AFB">
            <w:pPr>
              <w:pStyle w:val="41"/>
              <w:widowControl/>
              <w:rPr>
                <w:rFonts w:hint="default" w:eastAsia="宋体"/>
                <w:sz w:val="18"/>
                <w:szCs w:val="18"/>
                <w:lang w:val="en-US" w:eastAsia="zh-CN"/>
              </w:rPr>
            </w:pPr>
            <w:r>
              <w:rPr>
                <w:rFonts w:hint="eastAsia"/>
                <w:sz w:val="18"/>
                <w:szCs w:val="18"/>
                <w:lang w:val="en-US" w:eastAsia="zh-CN"/>
              </w:rPr>
              <w:t>学习椅</w:t>
            </w:r>
          </w:p>
        </w:tc>
        <w:tc>
          <w:tcPr>
            <w:tcW w:w="1257" w:type="dxa"/>
            <w:vMerge w:val="restart"/>
            <w:tcBorders>
              <w:left w:val="single" w:color="auto" w:sz="4" w:space="0"/>
              <w:right w:val="single" w:color="auto" w:sz="4" w:space="0"/>
            </w:tcBorders>
            <w:shd w:val="clear" w:color="auto" w:fill="auto"/>
            <w:vAlign w:val="center"/>
          </w:tcPr>
          <w:p w14:paraId="09AE78B1">
            <w:pPr>
              <w:keepNext w:val="0"/>
              <w:keepLines w:val="0"/>
              <w:suppressLineNumbers w:val="0"/>
              <w:spacing w:before="0" w:beforeAutospacing="0" w:after="0" w:afterAutospacing="0"/>
              <w:ind w:left="0" w:right="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软包层（纺织面料/皮革）</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1BAB2458">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耐干摩擦</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14:paraId="0A9BAE3F">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eastAsia"/>
                <w:sz w:val="18"/>
                <w:szCs w:val="18"/>
                <w:lang w:val="en-US" w:eastAsia="zh-CN"/>
              </w:rPr>
            </w:pPr>
            <w:r>
              <w:rPr>
                <w:rFonts w:hint="eastAsia"/>
                <w:sz w:val="18"/>
                <w:szCs w:val="18"/>
                <w:lang w:val="en-US" w:eastAsia="zh-CN"/>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6CECFFF7">
            <w:pPr>
              <w:pStyle w:val="41"/>
              <w:widowControl/>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≥4级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379DBBEF">
            <w:pPr>
              <w:pStyle w:val="41"/>
              <w:widowControl/>
              <w:rPr>
                <w:rFonts w:hint="default"/>
                <w:sz w:val="18"/>
                <w:szCs w:val="18"/>
                <w:lang w:val="en-US" w:eastAsia="zh-CN"/>
              </w:rPr>
            </w:pPr>
            <w:r>
              <w:rPr>
                <w:rFonts w:hint="eastAsia"/>
                <w:sz w:val="18"/>
                <w:szCs w:val="18"/>
                <w:lang w:val="en-US" w:eastAsia="zh-CN"/>
              </w:rPr>
              <w:t>4-5</w:t>
            </w:r>
          </w:p>
        </w:tc>
      </w:tr>
      <w:tr w14:paraId="5FF3E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33" w:hRule="atLeast"/>
        </w:trPr>
        <w:tc>
          <w:tcPr>
            <w:tcW w:w="704" w:type="dxa"/>
            <w:vMerge w:val="continue"/>
            <w:tcBorders>
              <w:left w:val="single" w:color="auto" w:sz="4" w:space="0"/>
              <w:right w:val="single" w:color="auto" w:sz="4" w:space="0"/>
            </w:tcBorders>
            <w:shd w:val="clear" w:color="auto" w:fill="auto"/>
            <w:vAlign w:val="center"/>
          </w:tcPr>
          <w:p w14:paraId="6898ACE6">
            <w:pPr>
              <w:pStyle w:val="41"/>
              <w:widowControl/>
              <w:rPr>
                <w:sz w:val="18"/>
                <w:szCs w:val="18"/>
                <w:lang w:val="en-US"/>
              </w:rPr>
            </w:pPr>
          </w:p>
        </w:tc>
        <w:tc>
          <w:tcPr>
            <w:tcW w:w="1257" w:type="dxa"/>
            <w:vMerge w:val="continue"/>
            <w:tcBorders>
              <w:left w:val="single" w:color="auto" w:sz="4" w:space="0"/>
              <w:right w:val="single" w:color="auto" w:sz="4" w:space="0"/>
            </w:tcBorders>
            <w:shd w:val="clear" w:color="auto" w:fill="auto"/>
            <w:vAlign w:val="center"/>
          </w:tcPr>
          <w:p w14:paraId="50877585">
            <w:pPr>
              <w:keepNext w:val="0"/>
              <w:keepLines w:val="0"/>
              <w:suppressLineNumbers w:val="0"/>
              <w:spacing w:before="0" w:beforeAutospacing="0" w:after="0" w:afterAutospacing="0"/>
              <w:ind w:left="0" w:right="0"/>
              <w:rPr>
                <w:rFonts w:hint="default" w:ascii="Times New Roman" w:hAnsi="Times New Roman" w:eastAsia="Times New Roman" w:cs="Times New Roman"/>
                <w:sz w:val="20"/>
                <w:szCs w:val="20"/>
              </w:rPr>
            </w:pP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2D1BC2E1">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耐湿摩擦</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14:paraId="6D6502A1">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eastAsia"/>
                <w:sz w:val="18"/>
                <w:szCs w:val="18"/>
                <w:lang w:val="en-US" w:eastAsia="zh-CN"/>
              </w:rPr>
            </w:pPr>
            <w:r>
              <w:rPr>
                <w:rFonts w:hint="eastAsia"/>
                <w:sz w:val="18"/>
                <w:szCs w:val="18"/>
                <w:lang w:val="en-US" w:eastAsia="zh-CN"/>
              </w:rPr>
              <w:t>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0DF6D9C6">
            <w:pPr>
              <w:pStyle w:val="41"/>
              <w:widowControl/>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≥3级</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414E25A2">
            <w:pPr>
              <w:pStyle w:val="41"/>
              <w:widowControl/>
              <w:rPr>
                <w:rFonts w:hint="default"/>
                <w:sz w:val="18"/>
                <w:szCs w:val="18"/>
                <w:lang w:val="en-US" w:eastAsia="zh-CN"/>
              </w:rPr>
            </w:pPr>
            <w:r>
              <w:rPr>
                <w:rFonts w:hint="eastAsia"/>
                <w:sz w:val="18"/>
                <w:szCs w:val="18"/>
                <w:lang w:val="en-US" w:eastAsia="zh-CN"/>
              </w:rPr>
              <w:t>4-5</w:t>
            </w:r>
          </w:p>
        </w:tc>
      </w:tr>
      <w:tr w14:paraId="5970D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33" w:hRule="atLeast"/>
        </w:trPr>
        <w:tc>
          <w:tcPr>
            <w:tcW w:w="704" w:type="dxa"/>
            <w:vMerge w:val="continue"/>
            <w:tcBorders>
              <w:left w:val="single" w:color="auto" w:sz="4" w:space="0"/>
              <w:bottom w:val="single" w:color="auto" w:sz="4" w:space="0"/>
              <w:right w:val="single" w:color="auto" w:sz="4" w:space="0"/>
            </w:tcBorders>
            <w:shd w:val="clear" w:color="auto" w:fill="auto"/>
            <w:vAlign w:val="center"/>
          </w:tcPr>
          <w:p w14:paraId="3AA15614">
            <w:pPr>
              <w:pStyle w:val="41"/>
              <w:widowControl/>
              <w:rPr>
                <w:sz w:val="18"/>
                <w:szCs w:val="18"/>
                <w:lang w:val="en-US"/>
              </w:rPr>
            </w:pPr>
          </w:p>
        </w:tc>
        <w:tc>
          <w:tcPr>
            <w:tcW w:w="1257" w:type="dxa"/>
            <w:vMerge w:val="continue"/>
            <w:tcBorders>
              <w:left w:val="single" w:color="auto" w:sz="4" w:space="0"/>
              <w:bottom w:val="single" w:color="auto" w:sz="4" w:space="0"/>
              <w:right w:val="single" w:color="auto" w:sz="4" w:space="0"/>
            </w:tcBorders>
            <w:shd w:val="clear" w:color="auto" w:fill="auto"/>
            <w:vAlign w:val="center"/>
          </w:tcPr>
          <w:p w14:paraId="31A1D483">
            <w:pPr>
              <w:keepNext w:val="0"/>
              <w:keepLines w:val="0"/>
              <w:suppressLineNumbers w:val="0"/>
              <w:spacing w:before="0" w:beforeAutospacing="0" w:after="0" w:afterAutospacing="0"/>
              <w:ind w:left="0" w:right="0"/>
              <w:rPr>
                <w:rFonts w:hint="default" w:ascii="Times New Roman" w:hAnsi="Times New Roman" w:eastAsia="Times New Roman" w:cs="Times New Roman"/>
                <w:sz w:val="20"/>
                <w:szCs w:val="20"/>
              </w:rPr>
            </w:pPr>
          </w:p>
        </w:tc>
        <w:tc>
          <w:tcPr>
            <w:tcW w:w="21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2E9C60">
            <w:pPr>
              <w:pStyle w:val="7"/>
              <w:keepNext w:val="0"/>
              <w:keepLines w:val="0"/>
              <w:widowControl/>
              <w:suppressLineNumbers w:val="0"/>
              <w:kinsoku w:val="0"/>
              <w:autoSpaceDE w:val="0"/>
              <w:autoSpaceDN w:val="0"/>
              <w:adjustRightInd w:val="0"/>
              <w:snapToGrid w:val="0"/>
              <w:spacing w:before="0" w:beforeAutospacing="0" w:after="0" w:afterAutospacing="0" w:line="240" w:lineRule="auto"/>
              <w:ind w:left="0" w:leftChars="0" w:right="0" w:rightChars="0"/>
              <w:jc w:val="center"/>
              <w:rPr>
                <w:rFonts w:hint="eastAsia"/>
                <w:sz w:val="18"/>
                <w:szCs w:val="18"/>
                <w:lang w:val="en-US" w:eastAsia="zh-CN"/>
              </w:rPr>
            </w:pPr>
            <w:r>
              <w:rPr>
                <w:rFonts w:hint="eastAsia" w:ascii="宋体" w:hAnsi="宋体" w:cs="宋体"/>
                <w:color w:val="000000"/>
                <w:kern w:val="0"/>
                <w:sz w:val="18"/>
                <w:szCs w:val="18"/>
                <w:lang w:val="en-US" w:eastAsia="zh-CN" w:bidi="ar"/>
              </w:rPr>
              <w:t>纺织面料pH</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6A1B0383">
            <w:pPr>
              <w:pStyle w:val="41"/>
              <w:widowControl/>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4.0～7.5</w:t>
            </w:r>
          </w:p>
        </w:tc>
        <w:tc>
          <w:tcPr>
            <w:tcW w:w="2249" w:type="dxa"/>
            <w:tcBorders>
              <w:top w:val="single" w:color="auto" w:sz="4" w:space="0"/>
              <w:left w:val="single" w:color="auto" w:sz="4" w:space="0"/>
              <w:bottom w:val="single" w:color="auto" w:sz="4" w:space="0"/>
              <w:right w:val="single" w:color="auto" w:sz="4" w:space="0"/>
            </w:tcBorders>
            <w:shd w:val="clear" w:color="auto" w:fill="auto"/>
            <w:vAlign w:val="center"/>
          </w:tcPr>
          <w:p w14:paraId="3F9B7E96">
            <w:pPr>
              <w:pStyle w:val="41"/>
              <w:widowControl/>
              <w:rPr>
                <w:rFonts w:hint="default"/>
                <w:sz w:val="18"/>
                <w:szCs w:val="18"/>
                <w:lang w:val="en-US" w:eastAsia="zh-CN"/>
              </w:rPr>
            </w:pPr>
            <w:r>
              <w:rPr>
                <w:rFonts w:hint="eastAsia"/>
                <w:sz w:val="18"/>
                <w:szCs w:val="18"/>
                <w:lang w:val="en-US" w:eastAsia="zh-CN"/>
              </w:rPr>
              <w:t>6.6</w:t>
            </w:r>
          </w:p>
        </w:tc>
      </w:tr>
    </w:tbl>
    <w:p w14:paraId="5489C3AE">
      <w:pPr>
        <w:pStyle w:val="15"/>
        <w:spacing w:line="360" w:lineRule="auto"/>
        <w:ind w:firstLine="0" w:firstLineChars="0"/>
        <w:rPr>
          <w:rFonts w:hint="eastAsia" w:ascii="黑体" w:hAnsi="宋体" w:eastAsia="黑体"/>
          <w:sz w:val="28"/>
          <w:szCs w:val="28"/>
        </w:rPr>
      </w:pPr>
      <w:r>
        <w:rPr>
          <w:rFonts w:hint="eastAsia" w:ascii="黑体" w:eastAsia="黑体"/>
          <w:sz w:val="28"/>
          <w:szCs w:val="28"/>
        </w:rPr>
        <w:t>4 与国际、国外同类标准技术内容的对比情况，或与测试的国外样品、样机的相关数据对比情况</w:t>
      </w:r>
    </w:p>
    <w:p w14:paraId="4895B81E">
      <w:pPr>
        <w:pStyle w:val="15"/>
        <w:autoSpaceDE w:val="0"/>
        <w:autoSpaceDN w:val="0"/>
        <w:spacing w:line="360" w:lineRule="auto"/>
        <w:ind w:firstLine="480" w:firstLineChars="0"/>
        <w:jc w:val="both"/>
        <w:rPr>
          <w:rFonts w:hint="eastAsia" w:hAnsi="宋体"/>
          <w:sz w:val="24"/>
          <w:lang w:eastAsia="zh-CN"/>
        </w:rPr>
      </w:pPr>
      <w:r>
        <w:rPr>
          <w:rFonts w:ascii="宋体" w:hAnsi="宋体" w:eastAsia="宋体" w:cs="Calibri"/>
          <w:sz w:val="24"/>
          <w:szCs w:val="24"/>
          <w:lang w:bidi="ar-SA"/>
        </w:rPr>
        <w:t>本标准目前并没有直接可采用的相关国际或国外标准。</w:t>
      </w:r>
      <w:r>
        <w:rPr>
          <w:rFonts w:hint="eastAsia" w:ascii="宋体" w:hAnsi="宋体" w:eastAsia="宋体" w:cs="Calibri"/>
          <w:sz w:val="24"/>
          <w:szCs w:val="24"/>
          <w:lang w:bidi="ar-SA"/>
        </w:rPr>
        <w:t>本标准制定过程中未查到同类国际、国外标准。本标准制定过程中未测试国外的样品、样机。</w:t>
      </w:r>
    </w:p>
    <w:p w14:paraId="0706FE99">
      <w:pPr>
        <w:pStyle w:val="15"/>
        <w:spacing w:line="360" w:lineRule="auto"/>
        <w:ind w:firstLine="0" w:firstLineChars="0"/>
        <w:rPr>
          <w:rFonts w:hint="eastAsia" w:ascii="黑体" w:eastAsia="黑体"/>
          <w:sz w:val="28"/>
          <w:szCs w:val="28"/>
        </w:rPr>
      </w:pPr>
      <w:r>
        <w:rPr>
          <w:rFonts w:hint="eastAsia" w:ascii="黑体" w:eastAsia="黑体"/>
          <w:sz w:val="28"/>
          <w:szCs w:val="28"/>
        </w:rPr>
        <w:t>5 以国际标准为基础的起草情况，以及是否合规引用或采用国际国外标准，并说明未采用国际标准的原因</w:t>
      </w:r>
    </w:p>
    <w:p w14:paraId="71AA6823">
      <w:pPr>
        <w:pStyle w:val="15"/>
        <w:spacing w:line="360" w:lineRule="auto"/>
        <w:ind w:firstLine="480" w:firstLineChars="0"/>
        <w:rPr>
          <w:rFonts w:hint="eastAsia" w:hAnsi="宋体"/>
          <w:sz w:val="24"/>
          <w:szCs w:val="24"/>
        </w:rPr>
      </w:pPr>
      <w:r>
        <w:rPr>
          <w:rFonts w:hint="eastAsia" w:hAnsi="宋体"/>
          <w:sz w:val="24"/>
          <w:szCs w:val="24"/>
        </w:rPr>
        <w:t>本标准是</w:t>
      </w:r>
      <w:r>
        <w:rPr>
          <w:rFonts w:hint="eastAsia" w:hAnsi="宋体"/>
          <w:sz w:val="24"/>
          <w:szCs w:val="24"/>
          <w:lang w:val="en-US" w:eastAsia="zh-CN"/>
        </w:rPr>
        <w:t>针对家用儿童学习桌、椅的产</w:t>
      </w:r>
      <w:r>
        <w:rPr>
          <w:rFonts w:hint="eastAsia" w:hAnsi="宋体"/>
          <w:sz w:val="24"/>
          <w:szCs w:val="24"/>
        </w:rPr>
        <w:t>品标准，没有以国际标准为基础起草。家具国际标准化技术委员会ISO/TC 136目前发布标准涵盖家具尺寸测量与配合、儿童家具、力学性能测试、家具五金性能测试、家具表面理化性能、软体家具阻燃等各方面的内容，主要为基础通用标准和方法标准、儿童家具安全和燃烧安全等标准，不涉及产品性能标准。</w:t>
      </w:r>
    </w:p>
    <w:p w14:paraId="51334FC2">
      <w:pPr>
        <w:pStyle w:val="15"/>
        <w:spacing w:line="360" w:lineRule="auto"/>
        <w:ind w:firstLine="0" w:firstLineChars="0"/>
        <w:rPr>
          <w:rFonts w:hint="eastAsia" w:ascii="黑体" w:eastAsia="黑体"/>
          <w:sz w:val="28"/>
          <w:szCs w:val="28"/>
        </w:rPr>
      </w:pPr>
      <w:r>
        <w:rPr>
          <w:rFonts w:hint="eastAsia" w:ascii="黑体" w:hAnsi="宋体" w:eastAsia="黑体"/>
          <w:sz w:val="28"/>
          <w:szCs w:val="28"/>
        </w:rPr>
        <w:t xml:space="preserve">6 </w:t>
      </w:r>
      <w:r>
        <w:rPr>
          <w:rFonts w:hint="eastAsia" w:ascii="黑体" w:eastAsia="黑体"/>
          <w:sz w:val="28"/>
          <w:szCs w:val="28"/>
        </w:rPr>
        <w:t>与有关法律、行政法规及相关标准的关系</w:t>
      </w:r>
    </w:p>
    <w:p w14:paraId="45A39609">
      <w:pPr>
        <w:widowControl w:val="0"/>
        <w:spacing w:line="360" w:lineRule="auto"/>
        <w:ind w:firstLine="480" w:firstLineChars="200"/>
        <w:jc w:val="both"/>
        <w:rPr>
          <w:rFonts w:hint="eastAsia"/>
          <w:color w:val="000000"/>
          <w:sz w:val="24"/>
          <w:lang w:eastAsia="zh-CN"/>
        </w:rPr>
      </w:pPr>
      <w:r>
        <w:rPr>
          <w:rFonts w:ascii="Calibri" w:hAnsi="Calibri" w:eastAsia="宋体" w:cs="Calibri"/>
          <w:color w:val="000000"/>
          <w:kern w:val="2"/>
          <w:sz w:val="24"/>
          <w:szCs w:val="24"/>
          <w:lang w:bidi="ar-SA"/>
        </w:rPr>
        <w:t>本标准严格遵循现行的法律法规、规章制度以及相关标准，尤其是与强制性标准保持了完全的一致性。在安全性能方面，本标准直接采用了强制性国家标准的相关条款，不仅在指标方法上与之保持一致，而且这种做法还有助于提升强制性国家标准的实施效率和使用效益，确保了标准的统一性和权威性。</w:t>
      </w:r>
    </w:p>
    <w:p w14:paraId="42B703B5">
      <w:pPr>
        <w:pStyle w:val="15"/>
        <w:spacing w:line="360" w:lineRule="auto"/>
        <w:ind w:firstLine="0" w:firstLineChars="0"/>
        <w:rPr>
          <w:rFonts w:hint="eastAsia" w:ascii="Calibri" w:hAnsi="Calibri" w:eastAsia="宋体" w:cs="Calibri"/>
          <w:color w:val="000000"/>
          <w:kern w:val="2"/>
          <w:sz w:val="24"/>
          <w:szCs w:val="24"/>
          <w:lang w:bidi="ar-SA"/>
        </w:rPr>
      </w:pPr>
      <w:r>
        <w:rPr>
          <w:rFonts w:hint="eastAsia" w:ascii="黑体" w:hAnsi="宋体" w:eastAsia="黑体"/>
          <w:sz w:val="28"/>
          <w:szCs w:val="28"/>
        </w:rPr>
        <w:t xml:space="preserve">7 </w:t>
      </w:r>
      <w:r>
        <w:rPr>
          <w:rFonts w:hint="eastAsia" w:ascii="黑体" w:eastAsia="黑体"/>
          <w:sz w:val="28"/>
          <w:szCs w:val="28"/>
        </w:rPr>
        <w:t>重大分歧意见的处理经过和依据</w:t>
      </w:r>
    </w:p>
    <w:p w14:paraId="0D941EC9">
      <w:pPr>
        <w:widowControl w:val="0"/>
        <w:spacing w:line="360" w:lineRule="auto"/>
        <w:ind w:firstLine="480" w:firstLineChars="200"/>
        <w:jc w:val="both"/>
        <w:rPr>
          <w:rFonts w:hint="eastAsia" w:hAnsi="宋体"/>
          <w:sz w:val="24"/>
          <w:szCs w:val="24"/>
        </w:rPr>
      </w:pPr>
      <w:r>
        <w:rPr>
          <w:rFonts w:hint="eastAsia" w:ascii="Calibri" w:hAnsi="Calibri" w:eastAsia="宋体" w:cs="Calibri"/>
          <w:color w:val="000000"/>
          <w:kern w:val="2"/>
          <w:sz w:val="24"/>
          <w:szCs w:val="24"/>
          <w:lang w:bidi="ar-SA"/>
        </w:rPr>
        <w:t>标准</w:t>
      </w:r>
      <w:r>
        <w:rPr>
          <w:rFonts w:hint="eastAsia" w:hAnsi="宋体"/>
          <w:sz w:val="24"/>
          <w:szCs w:val="24"/>
        </w:rPr>
        <w:t>起草过程中未产生重大分歧意见。</w:t>
      </w:r>
    </w:p>
    <w:p w14:paraId="46EE4E98">
      <w:pPr>
        <w:pStyle w:val="15"/>
        <w:spacing w:line="360" w:lineRule="auto"/>
        <w:ind w:firstLine="0" w:firstLineChars="0"/>
        <w:rPr>
          <w:rFonts w:hint="eastAsia" w:ascii="黑体" w:eastAsia="黑体"/>
          <w:sz w:val="28"/>
          <w:szCs w:val="28"/>
        </w:rPr>
      </w:pPr>
      <w:r>
        <w:rPr>
          <w:rFonts w:hint="eastAsia" w:ascii="黑体" w:eastAsia="黑体"/>
          <w:sz w:val="28"/>
          <w:szCs w:val="28"/>
        </w:rPr>
        <w:t>8 涉及专利的有关说明</w:t>
      </w:r>
    </w:p>
    <w:p w14:paraId="203FDE12">
      <w:pPr>
        <w:pStyle w:val="15"/>
        <w:autoSpaceDE w:val="0"/>
        <w:autoSpaceDN w:val="0"/>
        <w:spacing w:line="360" w:lineRule="auto"/>
        <w:ind w:firstLine="480" w:firstLineChars="200"/>
        <w:jc w:val="both"/>
        <w:rPr>
          <w:rFonts w:hint="eastAsia" w:hAnsi="宋体"/>
          <w:sz w:val="24"/>
          <w:szCs w:val="24"/>
          <w:lang w:eastAsia="zh-CN"/>
        </w:rPr>
      </w:pPr>
      <w:r>
        <w:rPr>
          <w:rFonts w:ascii="宋体" w:hAnsi="宋体" w:eastAsia="宋体" w:cs="Calibri"/>
          <w:sz w:val="24"/>
          <w:szCs w:val="24"/>
          <w:lang w:bidi="ar-SA"/>
        </w:rPr>
        <w:t>在本标准的技术内容中，经过仔细审查和评估，我们没有发现任何与之相关的单位或个人所持有的专利权，因此可以确认，本标准的制定和实施不会涉及到任何相关的知识产权问题。</w:t>
      </w:r>
    </w:p>
    <w:p w14:paraId="32523F93">
      <w:pPr>
        <w:pStyle w:val="15"/>
        <w:spacing w:line="360" w:lineRule="auto"/>
        <w:ind w:firstLine="0" w:firstLineChars="0"/>
        <w:rPr>
          <w:rFonts w:hint="eastAsia" w:ascii="黑体" w:eastAsia="黑体"/>
          <w:sz w:val="28"/>
          <w:szCs w:val="28"/>
        </w:rPr>
      </w:pPr>
      <w:r>
        <w:rPr>
          <w:rFonts w:hint="eastAsia" w:ascii="黑体" w:eastAsia="黑体"/>
          <w:sz w:val="28"/>
          <w:szCs w:val="28"/>
        </w:rPr>
        <w:t>9 实施国家标准的要求，以及组织措施、技术措施、过渡期和实施日期的建议等措施建议</w:t>
      </w:r>
    </w:p>
    <w:p w14:paraId="6A6613AC">
      <w:pPr>
        <w:pStyle w:val="15"/>
        <w:autoSpaceDE w:val="0"/>
        <w:autoSpaceDN w:val="0"/>
        <w:spacing w:line="360" w:lineRule="auto"/>
        <w:ind w:firstLine="480" w:firstLineChars="200"/>
        <w:jc w:val="both"/>
        <w:rPr>
          <w:rFonts w:hint="eastAsia"/>
          <w:sz w:val="24"/>
          <w:szCs w:val="24"/>
          <w:lang w:eastAsia="zh-CN"/>
        </w:rPr>
      </w:pPr>
      <w:r>
        <w:rPr>
          <w:rFonts w:ascii="宋体" w:hAnsi="Calibri" w:eastAsia="宋体" w:cs="Calibri"/>
          <w:sz w:val="24"/>
          <w:szCs w:val="24"/>
          <w:lang w:bidi="ar-SA"/>
        </w:rPr>
        <w:t>在本标准正式发布并开始实施之后，建议通过各个相关机构以及单位的官方网站来发布相关的标准信息，积极主动地承担起标准的宣传贯彻以及咨询服务工作。同时，我们建议将本标准定位为推荐性的国家标准，以便于更广泛地推广和应用。此外，为了确保标准的顺利实施和过渡，建议在本标准得到批准并正式发布后的</w:t>
      </w:r>
      <w:r>
        <w:rPr>
          <w:rFonts w:hint="eastAsia" w:cs="Calibri"/>
          <w:sz w:val="24"/>
          <w:szCs w:val="24"/>
          <w:lang w:val="en-US" w:eastAsia="zh-CN" w:bidi="ar-SA"/>
        </w:rPr>
        <w:t>6</w:t>
      </w:r>
      <w:r>
        <w:rPr>
          <w:rFonts w:ascii="宋体" w:hAnsi="Calibri" w:eastAsia="宋体" w:cs="Calibri"/>
          <w:sz w:val="24"/>
          <w:szCs w:val="24"/>
          <w:lang w:bidi="ar-SA"/>
        </w:rPr>
        <w:t>个月时间里，作为正式实施的过渡期。</w:t>
      </w:r>
    </w:p>
    <w:p w14:paraId="762B2E93">
      <w:pPr>
        <w:pStyle w:val="15"/>
        <w:spacing w:line="360" w:lineRule="auto"/>
        <w:ind w:firstLine="0" w:firstLineChars="0"/>
        <w:rPr>
          <w:rFonts w:hint="eastAsia" w:ascii="黑体" w:eastAsia="黑体"/>
          <w:sz w:val="28"/>
          <w:szCs w:val="28"/>
        </w:rPr>
      </w:pPr>
      <w:r>
        <w:rPr>
          <w:rFonts w:hint="eastAsia" w:ascii="黑体" w:eastAsia="黑体"/>
          <w:sz w:val="28"/>
          <w:szCs w:val="28"/>
        </w:rPr>
        <w:t>10 其他应当说明的事项</w:t>
      </w:r>
    </w:p>
    <w:p w14:paraId="5573BC60">
      <w:pPr>
        <w:pStyle w:val="15"/>
        <w:autoSpaceDE w:val="0"/>
        <w:autoSpaceDN w:val="0"/>
        <w:spacing w:line="360" w:lineRule="auto"/>
        <w:ind w:firstLine="480" w:firstLineChars="200"/>
        <w:jc w:val="both"/>
        <w:rPr>
          <w:rFonts w:hint="eastAsia" w:ascii="宋体" w:hAnsi="Calibri" w:eastAsia="宋体" w:cs="Calibri"/>
          <w:sz w:val="24"/>
          <w:szCs w:val="24"/>
          <w:lang w:eastAsia="zh-CN" w:bidi="ar-SA"/>
        </w:rPr>
      </w:pPr>
      <w:r>
        <w:rPr>
          <w:rFonts w:hint="eastAsia" w:ascii="宋体" w:hAnsi="Calibri" w:eastAsia="宋体" w:cs="Calibri"/>
          <w:sz w:val="24"/>
          <w:szCs w:val="24"/>
          <w:lang w:bidi="ar-SA"/>
        </w:rPr>
        <w:t>本标准不存在其他说明的事项</w:t>
      </w:r>
      <w:r>
        <w:rPr>
          <w:rFonts w:hint="eastAsia" w:ascii="宋体" w:hAnsi="Calibri" w:eastAsia="宋体" w:cs="Calibri"/>
          <w:sz w:val="24"/>
          <w:szCs w:val="24"/>
          <w:lang w:eastAsia="zh-CN" w:bidi="ar-SA"/>
        </w:rPr>
        <w:t>。</w:t>
      </w:r>
    </w:p>
    <w:p w14:paraId="74A766EF">
      <w:pPr>
        <w:pStyle w:val="15"/>
        <w:wordWrap w:val="0"/>
        <w:spacing w:line="360" w:lineRule="auto"/>
        <w:ind w:left="0" w:leftChars="0" w:firstLine="0" w:firstLineChars="0"/>
        <w:jc w:val="both"/>
        <w:rPr>
          <w:rFonts w:hint="eastAsia"/>
          <w:sz w:val="24"/>
          <w:szCs w:val="24"/>
        </w:rPr>
      </w:pPr>
    </w:p>
    <w:p w14:paraId="11F62102">
      <w:pPr>
        <w:pStyle w:val="15"/>
        <w:wordWrap w:val="0"/>
        <w:spacing w:line="360" w:lineRule="auto"/>
        <w:ind w:firstLine="480" w:firstLineChars="0"/>
        <w:jc w:val="right"/>
        <w:rPr>
          <w:rFonts w:hint="eastAsia"/>
          <w:sz w:val="24"/>
          <w:szCs w:val="24"/>
        </w:rPr>
      </w:pPr>
      <w:r>
        <w:rPr>
          <w:rFonts w:hint="eastAsia"/>
          <w:sz w:val="24"/>
          <w:szCs w:val="24"/>
        </w:rPr>
        <w:t>《</w:t>
      </w:r>
      <w:r>
        <w:rPr>
          <w:rFonts w:hint="eastAsia"/>
          <w:sz w:val="24"/>
          <w:szCs w:val="24"/>
          <w:lang w:eastAsia="zh-CN"/>
        </w:rPr>
        <w:t>家用儿童学习桌、椅</w:t>
      </w:r>
      <w:r>
        <w:rPr>
          <w:rFonts w:hint="eastAsia"/>
          <w:sz w:val="24"/>
          <w:szCs w:val="24"/>
        </w:rPr>
        <w:t>》标准起草小组</w:t>
      </w:r>
    </w:p>
    <w:p w14:paraId="370268F3">
      <w:pPr>
        <w:pStyle w:val="15"/>
        <w:spacing w:line="360" w:lineRule="auto"/>
        <w:ind w:firstLine="6600" w:firstLineChars="2750"/>
        <w:jc w:val="right"/>
        <w:rPr>
          <w:rFonts w:hint="eastAsia"/>
          <w:sz w:val="24"/>
          <w:szCs w:val="24"/>
        </w:rPr>
      </w:pPr>
      <w:r>
        <w:rPr>
          <w:rFonts w:hint="eastAsia"/>
          <w:sz w:val="24"/>
          <w:szCs w:val="24"/>
          <w:lang w:val="en-US" w:eastAsia="zh-CN"/>
        </w:rPr>
        <w:t>2026</w:t>
      </w:r>
      <w:r>
        <w:rPr>
          <w:rFonts w:hint="eastAsia"/>
          <w:sz w:val="24"/>
          <w:szCs w:val="24"/>
        </w:rPr>
        <w:t>年</w:t>
      </w:r>
      <w:r>
        <w:rPr>
          <w:rFonts w:hint="eastAsia"/>
          <w:sz w:val="24"/>
          <w:szCs w:val="24"/>
          <w:lang w:val="en-US" w:eastAsia="zh-CN"/>
        </w:rPr>
        <w:t>3</w:t>
      </w:r>
      <w:r>
        <w:rPr>
          <w:rFonts w:hint="eastAsia"/>
          <w:sz w:val="24"/>
          <w:szCs w:val="24"/>
        </w:rPr>
        <w:t>月</w:t>
      </w:r>
    </w:p>
    <w:sectPr>
      <w:footerReference r:id="rId3" w:type="default"/>
      <w:footerReference r:id="rId4" w:type="even"/>
      <w:pgSz w:w="11906" w:h="16838"/>
      <w:pgMar w:top="1418" w:right="1418" w:bottom="1418" w:left="1418" w:header="851" w:footer="992"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imes New Roman”“">
    <w:altName w:val="宋体"/>
    <w:panose1 w:val="00000000000000000000"/>
    <w:charset w:val="86"/>
    <w:family w:val="roma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735CA">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2</w:t>
    </w:r>
    <w:r>
      <w:rPr>
        <w:rStyle w:val="11"/>
      </w:rPr>
      <w:fldChar w:fldCharType="end"/>
    </w:r>
  </w:p>
  <w:p w14:paraId="7B005A9D">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3ACD4">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5E801439">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5ACCFA"/>
    <w:multiLevelType w:val="singleLevel"/>
    <w:tmpl w:val="AB5ACCFA"/>
    <w:lvl w:ilvl="0" w:tentative="0">
      <w:start w:val="1"/>
      <w:numFmt w:val="decimalEnclosedCircleChinese"/>
      <w:suff w:val="nothing"/>
      <w:lvlText w:val="%1　"/>
      <w:lvlJc w:val="left"/>
      <w:pPr>
        <w:ind w:left="0" w:firstLine="400"/>
      </w:pPr>
      <w:rPr>
        <w:rFonts w:hint="eastAsia"/>
      </w:rPr>
    </w:lvl>
  </w:abstractNum>
  <w:abstractNum w:abstractNumId="1">
    <w:nsid w:val="CA7417A4"/>
    <w:multiLevelType w:val="singleLevel"/>
    <w:tmpl w:val="CA7417A4"/>
    <w:lvl w:ilvl="0" w:tentative="0">
      <w:start w:val="1"/>
      <w:numFmt w:val="decimalEnclosedCircleChinese"/>
      <w:suff w:val="nothing"/>
      <w:lvlText w:val="%1　"/>
      <w:lvlJc w:val="left"/>
      <w:pPr>
        <w:ind w:left="0" w:firstLine="400"/>
      </w:pPr>
      <w:rPr>
        <w:rFonts w:hint="eastAsia"/>
      </w:rPr>
    </w:lvl>
  </w:abstractNum>
  <w:abstractNum w:abstractNumId="2">
    <w:nsid w:val="261E444E"/>
    <w:multiLevelType w:val="singleLevel"/>
    <w:tmpl w:val="261E444E"/>
    <w:lvl w:ilvl="0" w:tentative="0">
      <w:start w:val="1"/>
      <w:numFmt w:val="decimalEnclosedCircleChinese"/>
      <w:suff w:val="nothing"/>
      <w:lvlText w:val="%1　"/>
      <w:lvlJc w:val="left"/>
      <w:pPr>
        <w:ind w:left="0" w:firstLine="400"/>
      </w:pPr>
      <w:rPr>
        <w:rFonts w:hint="eastAsia"/>
      </w:rPr>
    </w:lvl>
  </w:abstractNum>
  <w:abstractNum w:abstractNumId="3">
    <w:nsid w:val="44C50F90"/>
    <w:multiLevelType w:val="multilevel"/>
    <w:tmpl w:val="44C50F90"/>
    <w:lvl w:ilvl="0" w:tentative="0">
      <w:start w:val="1"/>
      <w:numFmt w:val="lowerLetter"/>
      <w:pStyle w:val="29"/>
      <w:lvlText w:val="%1)"/>
      <w:lvlJc w:val="left"/>
      <w:pPr>
        <w:tabs>
          <w:tab w:val="left" w:pos="851"/>
        </w:tabs>
        <w:ind w:left="851" w:hanging="426"/>
      </w:pPr>
      <w:rPr>
        <w:rFonts w:hint="eastAsia" w:ascii="宋体" w:hAnsi="Times New Roman" w:eastAsia="宋体"/>
        <w:sz w:val="21"/>
      </w:rPr>
    </w:lvl>
    <w:lvl w:ilvl="1" w:tentative="0">
      <w:start w:val="1"/>
      <w:numFmt w:val="decimal"/>
      <w:pStyle w:val="27"/>
      <w:lvlText w:val="%2)"/>
      <w:lvlJc w:val="left"/>
      <w:pPr>
        <w:tabs>
          <w:tab w:val="left" w:pos="1276"/>
        </w:tabs>
        <w:ind w:left="1276" w:hanging="425"/>
      </w:pPr>
      <w:rPr>
        <w:rFonts w:hint="eastAsia" w:ascii="宋体" w:hAnsi="Times New Roman" w:eastAsia="宋体"/>
        <w:sz w:val="21"/>
      </w:rPr>
    </w:lvl>
    <w:lvl w:ilvl="2" w:tentative="0">
      <w:start w:val="1"/>
      <w:numFmt w:val="decimal"/>
      <w:pStyle w:val="2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4D316054"/>
    <w:multiLevelType w:val="multilevel"/>
    <w:tmpl w:val="4D316054"/>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4820" w:firstLine="0"/>
      </w:pPr>
      <w:rPr>
        <w:rFonts w:hint="eastAsia" w:ascii="黑体" w:hAnsi="Times New Roman" w:eastAsia="黑体" w:cs="黑体"/>
        <w:b w:val="0"/>
        <w:i w:val="0"/>
        <w:sz w:val="21"/>
      </w:rPr>
    </w:lvl>
    <w:lvl w:ilvl="4" w:tentative="0">
      <w:start w:val="1"/>
      <w:numFmt w:val="decimal"/>
      <w:pStyle w:val="36"/>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5">
    <w:nsid w:val="6CEA2025"/>
    <w:multiLevelType w:val="multilevel"/>
    <w:tmpl w:val="6CEA2025"/>
    <w:lvl w:ilvl="0" w:tentative="0">
      <w:start w:val="1"/>
      <w:numFmt w:val="none"/>
      <w:pStyle w:val="14"/>
      <w:suff w:val="nothing"/>
      <w:lvlText w:val="%1"/>
      <w:lvlJc w:val="left"/>
      <w:pPr>
        <w:ind w:left="0" w:firstLine="0"/>
      </w:pPr>
      <w:rPr>
        <w:rFonts w:hint="default" w:ascii="Times New Roman" w:hAnsi="Times New Roman"/>
        <w:b/>
        <w:i w:val="0"/>
        <w:sz w:val="21"/>
      </w:rPr>
    </w:lvl>
    <w:lvl w:ilvl="1" w:tentative="0">
      <w:start w:val="1"/>
      <w:numFmt w:val="decimal"/>
      <w:pStyle w:val="38"/>
      <w:suff w:val="nothing"/>
      <w:lvlText w:val="%1%2　"/>
      <w:lvlJc w:val="left"/>
      <w:pPr>
        <w:ind w:left="0" w:firstLine="0"/>
      </w:pPr>
      <w:rPr>
        <w:rFonts w:hint="eastAsia" w:ascii="黑体" w:hAnsi="Times New Roman" w:eastAsia="黑体"/>
        <w:b w:val="0"/>
        <w:i w:val="0"/>
        <w:sz w:val="21"/>
      </w:rPr>
    </w:lvl>
    <w:lvl w:ilvl="2" w:tentative="0">
      <w:start w:val="1"/>
      <w:numFmt w:val="decimal"/>
      <w:pStyle w:val="37"/>
      <w:suff w:val="nothing"/>
      <w:lvlText w:val="%1%2.%3　"/>
      <w:lvlJc w:val="left"/>
      <w:pPr>
        <w:ind w:left="0" w:firstLine="0"/>
      </w:pPr>
      <w:rPr>
        <w:rFonts w:hint="eastAsia" w:ascii="黑体" w:hAnsi="Times New Roman" w:eastAsia="黑体"/>
        <w:b w:val="0"/>
        <w:i w:val="0"/>
        <w:sz w:val="21"/>
      </w:rPr>
    </w:lvl>
    <w:lvl w:ilvl="3" w:tentative="0">
      <w:start w:val="1"/>
      <w:numFmt w:val="decimal"/>
      <w:pStyle w:val="19"/>
      <w:suff w:val="nothing"/>
      <w:lvlText w:val="%1%2.%3.%4　"/>
      <w:lvlJc w:val="left"/>
      <w:pPr>
        <w:ind w:left="180" w:firstLine="0"/>
      </w:pPr>
      <w:rPr>
        <w:rFonts w:hint="eastAsia" w:ascii="黑体" w:hAnsi="Times New Roman" w:eastAsia="黑体"/>
        <w:b w:val="0"/>
        <w:i w:val="0"/>
        <w:sz w:val="21"/>
      </w:rPr>
    </w:lvl>
    <w:lvl w:ilvl="4" w:tentative="0">
      <w:start w:val="1"/>
      <w:numFmt w:val="decimal"/>
      <w:pStyle w:val="20"/>
      <w:suff w:val="nothing"/>
      <w:lvlText w:val="%1%2.%3.%4.%5　"/>
      <w:lvlJc w:val="left"/>
      <w:pPr>
        <w:ind w:left="525"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pStyle w:val="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hMjdjMzlkZjE0YWE5Mjk1YmZjZDlkYzBiOGFmNjIifQ=="/>
  </w:docVars>
  <w:rsids>
    <w:rsidRoot w:val="003C08B0"/>
    <w:rsid w:val="00000579"/>
    <w:rsid w:val="00005999"/>
    <w:rsid w:val="00023927"/>
    <w:rsid w:val="00024BB1"/>
    <w:rsid w:val="000334A7"/>
    <w:rsid w:val="000366C7"/>
    <w:rsid w:val="00047925"/>
    <w:rsid w:val="00051350"/>
    <w:rsid w:val="000545ED"/>
    <w:rsid w:val="00057714"/>
    <w:rsid w:val="000671EE"/>
    <w:rsid w:val="000760F3"/>
    <w:rsid w:val="0008176B"/>
    <w:rsid w:val="00083CA8"/>
    <w:rsid w:val="000841BE"/>
    <w:rsid w:val="000C4ABD"/>
    <w:rsid w:val="000D33FD"/>
    <w:rsid w:val="000D58AE"/>
    <w:rsid w:val="000D7361"/>
    <w:rsid w:val="000E1441"/>
    <w:rsid w:val="000E6FE4"/>
    <w:rsid w:val="001004B5"/>
    <w:rsid w:val="00112662"/>
    <w:rsid w:val="00115F4D"/>
    <w:rsid w:val="00116925"/>
    <w:rsid w:val="00116CA7"/>
    <w:rsid w:val="00130FD6"/>
    <w:rsid w:val="001324DC"/>
    <w:rsid w:val="00133465"/>
    <w:rsid w:val="00141CE2"/>
    <w:rsid w:val="001476A3"/>
    <w:rsid w:val="001612E9"/>
    <w:rsid w:val="0016424F"/>
    <w:rsid w:val="001703C7"/>
    <w:rsid w:val="00185636"/>
    <w:rsid w:val="001856F9"/>
    <w:rsid w:val="001946F3"/>
    <w:rsid w:val="001B0487"/>
    <w:rsid w:val="001B6720"/>
    <w:rsid w:val="001B6EB8"/>
    <w:rsid w:val="001C51B2"/>
    <w:rsid w:val="001C701E"/>
    <w:rsid w:val="001E4E9D"/>
    <w:rsid w:val="001F3586"/>
    <w:rsid w:val="001F557C"/>
    <w:rsid w:val="001F6E80"/>
    <w:rsid w:val="001F77E7"/>
    <w:rsid w:val="00201D4F"/>
    <w:rsid w:val="0020216C"/>
    <w:rsid w:val="00204E08"/>
    <w:rsid w:val="00204E77"/>
    <w:rsid w:val="0021294C"/>
    <w:rsid w:val="002338AE"/>
    <w:rsid w:val="002344EA"/>
    <w:rsid w:val="002345A1"/>
    <w:rsid w:val="002347C9"/>
    <w:rsid w:val="00236DF6"/>
    <w:rsid w:val="0024099B"/>
    <w:rsid w:val="00242294"/>
    <w:rsid w:val="00244E47"/>
    <w:rsid w:val="00255D79"/>
    <w:rsid w:val="00260AF1"/>
    <w:rsid w:val="00266677"/>
    <w:rsid w:val="002707EE"/>
    <w:rsid w:val="00273409"/>
    <w:rsid w:val="0027363F"/>
    <w:rsid w:val="002741E2"/>
    <w:rsid w:val="002749DD"/>
    <w:rsid w:val="00274CF6"/>
    <w:rsid w:val="00275123"/>
    <w:rsid w:val="00276DC8"/>
    <w:rsid w:val="00282135"/>
    <w:rsid w:val="00283666"/>
    <w:rsid w:val="0028557B"/>
    <w:rsid w:val="0029070A"/>
    <w:rsid w:val="00291DDF"/>
    <w:rsid w:val="002A3DEC"/>
    <w:rsid w:val="002A77A5"/>
    <w:rsid w:val="002C0C22"/>
    <w:rsid w:val="002C1BE5"/>
    <w:rsid w:val="002C3FBB"/>
    <w:rsid w:val="002C6602"/>
    <w:rsid w:val="002D1463"/>
    <w:rsid w:val="002D28A1"/>
    <w:rsid w:val="002D2CA5"/>
    <w:rsid w:val="002E5FDC"/>
    <w:rsid w:val="002F3B3F"/>
    <w:rsid w:val="002F58D9"/>
    <w:rsid w:val="00300526"/>
    <w:rsid w:val="00301589"/>
    <w:rsid w:val="003015A3"/>
    <w:rsid w:val="003028C3"/>
    <w:rsid w:val="00303EFC"/>
    <w:rsid w:val="00322388"/>
    <w:rsid w:val="0032629D"/>
    <w:rsid w:val="00333A96"/>
    <w:rsid w:val="003376CD"/>
    <w:rsid w:val="003377FD"/>
    <w:rsid w:val="003446AA"/>
    <w:rsid w:val="00360001"/>
    <w:rsid w:val="003602EC"/>
    <w:rsid w:val="0036158C"/>
    <w:rsid w:val="0036342E"/>
    <w:rsid w:val="00370191"/>
    <w:rsid w:val="00370DFA"/>
    <w:rsid w:val="00374B95"/>
    <w:rsid w:val="00383539"/>
    <w:rsid w:val="00390E2C"/>
    <w:rsid w:val="003A25DF"/>
    <w:rsid w:val="003A2BBF"/>
    <w:rsid w:val="003A3BBD"/>
    <w:rsid w:val="003B5656"/>
    <w:rsid w:val="003C06CF"/>
    <w:rsid w:val="003C08B0"/>
    <w:rsid w:val="003C4BE9"/>
    <w:rsid w:val="003C56F3"/>
    <w:rsid w:val="003C5EE4"/>
    <w:rsid w:val="003D536D"/>
    <w:rsid w:val="003D75DC"/>
    <w:rsid w:val="003E696C"/>
    <w:rsid w:val="003E69C3"/>
    <w:rsid w:val="003E7EF6"/>
    <w:rsid w:val="003F6C96"/>
    <w:rsid w:val="003F7A01"/>
    <w:rsid w:val="003F7B7A"/>
    <w:rsid w:val="00405229"/>
    <w:rsid w:val="0041365F"/>
    <w:rsid w:val="0041614A"/>
    <w:rsid w:val="004234D1"/>
    <w:rsid w:val="0042765D"/>
    <w:rsid w:val="00437203"/>
    <w:rsid w:val="00440078"/>
    <w:rsid w:val="00440AB6"/>
    <w:rsid w:val="00444EDF"/>
    <w:rsid w:val="0044684D"/>
    <w:rsid w:val="00454AB2"/>
    <w:rsid w:val="00456421"/>
    <w:rsid w:val="00466343"/>
    <w:rsid w:val="0047016F"/>
    <w:rsid w:val="00473B82"/>
    <w:rsid w:val="0047544E"/>
    <w:rsid w:val="00475E57"/>
    <w:rsid w:val="004776B1"/>
    <w:rsid w:val="00480297"/>
    <w:rsid w:val="004808A1"/>
    <w:rsid w:val="00484408"/>
    <w:rsid w:val="00492409"/>
    <w:rsid w:val="004A315B"/>
    <w:rsid w:val="004B217A"/>
    <w:rsid w:val="004D577A"/>
    <w:rsid w:val="004D69D9"/>
    <w:rsid w:val="004E0394"/>
    <w:rsid w:val="004E0BC4"/>
    <w:rsid w:val="004F4DF0"/>
    <w:rsid w:val="004F5113"/>
    <w:rsid w:val="004F6BC4"/>
    <w:rsid w:val="005063E6"/>
    <w:rsid w:val="00510241"/>
    <w:rsid w:val="00511A28"/>
    <w:rsid w:val="00513741"/>
    <w:rsid w:val="00515E96"/>
    <w:rsid w:val="00516EAE"/>
    <w:rsid w:val="005544DB"/>
    <w:rsid w:val="0055467E"/>
    <w:rsid w:val="00554C76"/>
    <w:rsid w:val="00562584"/>
    <w:rsid w:val="00564EC3"/>
    <w:rsid w:val="005733DF"/>
    <w:rsid w:val="00575126"/>
    <w:rsid w:val="005854E9"/>
    <w:rsid w:val="00585B6F"/>
    <w:rsid w:val="005A028E"/>
    <w:rsid w:val="005A069C"/>
    <w:rsid w:val="005A5FB9"/>
    <w:rsid w:val="005B55BB"/>
    <w:rsid w:val="005B5976"/>
    <w:rsid w:val="005C01E9"/>
    <w:rsid w:val="005D0B3F"/>
    <w:rsid w:val="005E2EDF"/>
    <w:rsid w:val="005F5E95"/>
    <w:rsid w:val="006033EC"/>
    <w:rsid w:val="006108BF"/>
    <w:rsid w:val="0061350B"/>
    <w:rsid w:val="006136E7"/>
    <w:rsid w:val="00614D1F"/>
    <w:rsid w:val="00627A3F"/>
    <w:rsid w:val="00632F23"/>
    <w:rsid w:val="006453CB"/>
    <w:rsid w:val="00651832"/>
    <w:rsid w:val="006706C9"/>
    <w:rsid w:val="0067194D"/>
    <w:rsid w:val="00673324"/>
    <w:rsid w:val="00682F6F"/>
    <w:rsid w:val="00683314"/>
    <w:rsid w:val="006931A4"/>
    <w:rsid w:val="00695D4B"/>
    <w:rsid w:val="006A3BC8"/>
    <w:rsid w:val="006A4F4E"/>
    <w:rsid w:val="006A67B7"/>
    <w:rsid w:val="006B27B7"/>
    <w:rsid w:val="006B2C6F"/>
    <w:rsid w:val="006B38BC"/>
    <w:rsid w:val="006B3D1A"/>
    <w:rsid w:val="006B6D72"/>
    <w:rsid w:val="006C1ED9"/>
    <w:rsid w:val="006C7542"/>
    <w:rsid w:val="006D48DD"/>
    <w:rsid w:val="006D638D"/>
    <w:rsid w:val="006E0180"/>
    <w:rsid w:val="006E3672"/>
    <w:rsid w:val="006E413A"/>
    <w:rsid w:val="006F3087"/>
    <w:rsid w:val="006F5590"/>
    <w:rsid w:val="006F55CA"/>
    <w:rsid w:val="006F71D4"/>
    <w:rsid w:val="00701A81"/>
    <w:rsid w:val="00711ADC"/>
    <w:rsid w:val="00722795"/>
    <w:rsid w:val="00722C9F"/>
    <w:rsid w:val="0072701F"/>
    <w:rsid w:val="00742E82"/>
    <w:rsid w:val="00746B0B"/>
    <w:rsid w:val="007529D9"/>
    <w:rsid w:val="007558E1"/>
    <w:rsid w:val="00766A2E"/>
    <w:rsid w:val="007678D0"/>
    <w:rsid w:val="0077376F"/>
    <w:rsid w:val="007912B1"/>
    <w:rsid w:val="00791434"/>
    <w:rsid w:val="007A4360"/>
    <w:rsid w:val="007A4B4F"/>
    <w:rsid w:val="007A4F79"/>
    <w:rsid w:val="007B00E4"/>
    <w:rsid w:val="007B276B"/>
    <w:rsid w:val="007C0CE6"/>
    <w:rsid w:val="007C22EF"/>
    <w:rsid w:val="007C253C"/>
    <w:rsid w:val="007C63C6"/>
    <w:rsid w:val="007C7356"/>
    <w:rsid w:val="007D0F52"/>
    <w:rsid w:val="007D57F0"/>
    <w:rsid w:val="007D7473"/>
    <w:rsid w:val="007E6F90"/>
    <w:rsid w:val="007F2E3E"/>
    <w:rsid w:val="007F61C3"/>
    <w:rsid w:val="00811ADB"/>
    <w:rsid w:val="00823436"/>
    <w:rsid w:val="00830E45"/>
    <w:rsid w:val="00832649"/>
    <w:rsid w:val="0084047E"/>
    <w:rsid w:val="00846078"/>
    <w:rsid w:val="00852C33"/>
    <w:rsid w:val="008538D7"/>
    <w:rsid w:val="00861EB1"/>
    <w:rsid w:val="008706EB"/>
    <w:rsid w:val="00871B20"/>
    <w:rsid w:val="008738D5"/>
    <w:rsid w:val="00873965"/>
    <w:rsid w:val="00882AA8"/>
    <w:rsid w:val="00885C57"/>
    <w:rsid w:val="008864E9"/>
    <w:rsid w:val="008925D6"/>
    <w:rsid w:val="008950A6"/>
    <w:rsid w:val="008A04E3"/>
    <w:rsid w:val="008A11DB"/>
    <w:rsid w:val="008A4890"/>
    <w:rsid w:val="008A697B"/>
    <w:rsid w:val="008B17C9"/>
    <w:rsid w:val="008B4CCA"/>
    <w:rsid w:val="008B516C"/>
    <w:rsid w:val="008C7C16"/>
    <w:rsid w:val="008D418D"/>
    <w:rsid w:val="008D76C7"/>
    <w:rsid w:val="008E0F6A"/>
    <w:rsid w:val="008E1C87"/>
    <w:rsid w:val="008E6125"/>
    <w:rsid w:val="008F513C"/>
    <w:rsid w:val="008F5425"/>
    <w:rsid w:val="008F54B1"/>
    <w:rsid w:val="00906D0D"/>
    <w:rsid w:val="009167A0"/>
    <w:rsid w:val="00916BA8"/>
    <w:rsid w:val="00917A95"/>
    <w:rsid w:val="009229EB"/>
    <w:rsid w:val="00936217"/>
    <w:rsid w:val="009368A0"/>
    <w:rsid w:val="00936FA8"/>
    <w:rsid w:val="00940D65"/>
    <w:rsid w:val="0094687D"/>
    <w:rsid w:val="00957FD1"/>
    <w:rsid w:val="00962776"/>
    <w:rsid w:val="00967BB6"/>
    <w:rsid w:val="00972FFE"/>
    <w:rsid w:val="009734ED"/>
    <w:rsid w:val="00975C1C"/>
    <w:rsid w:val="00975FE8"/>
    <w:rsid w:val="009760CD"/>
    <w:rsid w:val="009823E4"/>
    <w:rsid w:val="00991AD5"/>
    <w:rsid w:val="00997AF2"/>
    <w:rsid w:val="009B14CF"/>
    <w:rsid w:val="009B3513"/>
    <w:rsid w:val="009C05F6"/>
    <w:rsid w:val="009C2D91"/>
    <w:rsid w:val="009C375F"/>
    <w:rsid w:val="009C77DC"/>
    <w:rsid w:val="009D50D4"/>
    <w:rsid w:val="009D770B"/>
    <w:rsid w:val="009E7AE2"/>
    <w:rsid w:val="009F3AA2"/>
    <w:rsid w:val="009F3B60"/>
    <w:rsid w:val="00A00872"/>
    <w:rsid w:val="00A00AF0"/>
    <w:rsid w:val="00A203F8"/>
    <w:rsid w:val="00A2224A"/>
    <w:rsid w:val="00A25C06"/>
    <w:rsid w:val="00A27E52"/>
    <w:rsid w:val="00A3075C"/>
    <w:rsid w:val="00A310DA"/>
    <w:rsid w:val="00A32F6B"/>
    <w:rsid w:val="00A33011"/>
    <w:rsid w:val="00A33534"/>
    <w:rsid w:val="00A34222"/>
    <w:rsid w:val="00A36BA9"/>
    <w:rsid w:val="00A43023"/>
    <w:rsid w:val="00A450F1"/>
    <w:rsid w:val="00A47AC2"/>
    <w:rsid w:val="00A56790"/>
    <w:rsid w:val="00A62A6E"/>
    <w:rsid w:val="00A70926"/>
    <w:rsid w:val="00A75DD4"/>
    <w:rsid w:val="00A76414"/>
    <w:rsid w:val="00A810C5"/>
    <w:rsid w:val="00AA18BB"/>
    <w:rsid w:val="00AB032C"/>
    <w:rsid w:val="00AC07E2"/>
    <w:rsid w:val="00AC1B3F"/>
    <w:rsid w:val="00AC1E9D"/>
    <w:rsid w:val="00AC1FBA"/>
    <w:rsid w:val="00AC662C"/>
    <w:rsid w:val="00AC6C96"/>
    <w:rsid w:val="00AC7502"/>
    <w:rsid w:val="00AD41FB"/>
    <w:rsid w:val="00AD6169"/>
    <w:rsid w:val="00AE2062"/>
    <w:rsid w:val="00AE2ED4"/>
    <w:rsid w:val="00AF44ED"/>
    <w:rsid w:val="00AF4661"/>
    <w:rsid w:val="00AF5062"/>
    <w:rsid w:val="00B00BB7"/>
    <w:rsid w:val="00B01593"/>
    <w:rsid w:val="00B03673"/>
    <w:rsid w:val="00B229D1"/>
    <w:rsid w:val="00B55D75"/>
    <w:rsid w:val="00B664CB"/>
    <w:rsid w:val="00B67646"/>
    <w:rsid w:val="00B85C7E"/>
    <w:rsid w:val="00B873F0"/>
    <w:rsid w:val="00B96AA4"/>
    <w:rsid w:val="00B97509"/>
    <w:rsid w:val="00BB28B5"/>
    <w:rsid w:val="00BB62DD"/>
    <w:rsid w:val="00BB6A9B"/>
    <w:rsid w:val="00BC0667"/>
    <w:rsid w:val="00BC4689"/>
    <w:rsid w:val="00BD23FB"/>
    <w:rsid w:val="00BD4245"/>
    <w:rsid w:val="00BE0FA5"/>
    <w:rsid w:val="00BE27CC"/>
    <w:rsid w:val="00BF6097"/>
    <w:rsid w:val="00BF6E49"/>
    <w:rsid w:val="00C12497"/>
    <w:rsid w:val="00C14455"/>
    <w:rsid w:val="00C1463B"/>
    <w:rsid w:val="00C15B38"/>
    <w:rsid w:val="00C248D6"/>
    <w:rsid w:val="00C3010B"/>
    <w:rsid w:val="00C31AEA"/>
    <w:rsid w:val="00C31B0F"/>
    <w:rsid w:val="00C345BE"/>
    <w:rsid w:val="00C43854"/>
    <w:rsid w:val="00C43AA4"/>
    <w:rsid w:val="00C47478"/>
    <w:rsid w:val="00C52F9E"/>
    <w:rsid w:val="00C61A9F"/>
    <w:rsid w:val="00C62225"/>
    <w:rsid w:val="00C662A7"/>
    <w:rsid w:val="00C7021C"/>
    <w:rsid w:val="00C70C53"/>
    <w:rsid w:val="00C8294A"/>
    <w:rsid w:val="00C91FFD"/>
    <w:rsid w:val="00C92EBF"/>
    <w:rsid w:val="00CA624B"/>
    <w:rsid w:val="00CB7DF8"/>
    <w:rsid w:val="00CC4E87"/>
    <w:rsid w:val="00CD35B5"/>
    <w:rsid w:val="00CE4BE7"/>
    <w:rsid w:val="00CF66E7"/>
    <w:rsid w:val="00D06504"/>
    <w:rsid w:val="00D107D5"/>
    <w:rsid w:val="00D1480B"/>
    <w:rsid w:val="00D20B3C"/>
    <w:rsid w:val="00D276AA"/>
    <w:rsid w:val="00D363ED"/>
    <w:rsid w:val="00D366BF"/>
    <w:rsid w:val="00D5264F"/>
    <w:rsid w:val="00D53963"/>
    <w:rsid w:val="00D55E09"/>
    <w:rsid w:val="00D5630A"/>
    <w:rsid w:val="00D61AB5"/>
    <w:rsid w:val="00D65504"/>
    <w:rsid w:val="00D76D74"/>
    <w:rsid w:val="00D831B7"/>
    <w:rsid w:val="00D8692D"/>
    <w:rsid w:val="00D86D1C"/>
    <w:rsid w:val="00D925D9"/>
    <w:rsid w:val="00D950F1"/>
    <w:rsid w:val="00D95962"/>
    <w:rsid w:val="00DA25EB"/>
    <w:rsid w:val="00DA2677"/>
    <w:rsid w:val="00DA420B"/>
    <w:rsid w:val="00DA4576"/>
    <w:rsid w:val="00DB3541"/>
    <w:rsid w:val="00DC201C"/>
    <w:rsid w:val="00DC3686"/>
    <w:rsid w:val="00DC6F70"/>
    <w:rsid w:val="00DD6BD8"/>
    <w:rsid w:val="00DE1C19"/>
    <w:rsid w:val="00DE3F7E"/>
    <w:rsid w:val="00DF3146"/>
    <w:rsid w:val="00DF36A7"/>
    <w:rsid w:val="00E03311"/>
    <w:rsid w:val="00E07029"/>
    <w:rsid w:val="00E15699"/>
    <w:rsid w:val="00E2018E"/>
    <w:rsid w:val="00E37069"/>
    <w:rsid w:val="00E37179"/>
    <w:rsid w:val="00E37957"/>
    <w:rsid w:val="00E47A75"/>
    <w:rsid w:val="00E55B9B"/>
    <w:rsid w:val="00E60AE5"/>
    <w:rsid w:val="00E622BD"/>
    <w:rsid w:val="00E6329B"/>
    <w:rsid w:val="00E66F43"/>
    <w:rsid w:val="00E71264"/>
    <w:rsid w:val="00E80165"/>
    <w:rsid w:val="00E8032D"/>
    <w:rsid w:val="00E808F2"/>
    <w:rsid w:val="00E84330"/>
    <w:rsid w:val="00E87BEC"/>
    <w:rsid w:val="00E93A25"/>
    <w:rsid w:val="00EA104D"/>
    <w:rsid w:val="00EA305A"/>
    <w:rsid w:val="00EB02A2"/>
    <w:rsid w:val="00EC5202"/>
    <w:rsid w:val="00EC577A"/>
    <w:rsid w:val="00ED0741"/>
    <w:rsid w:val="00ED161E"/>
    <w:rsid w:val="00EF3B4C"/>
    <w:rsid w:val="00EF3E6E"/>
    <w:rsid w:val="00EF4FB7"/>
    <w:rsid w:val="00F03109"/>
    <w:rsid w:val="00F04330"/>
    <w:rsid w:val="00F12790"/>
    <w:rsid w:val="00F13DF6"/>
    <w:rsid w:val="00F40DB2"/>
    <w:rsid w:val="00F427D9"/>
    <w:rsid w:val="00F429BF"/>
    <w:rsid w:val="00F42EC5"/>
    <w:rsid w:val="00F46A5B"/>
    <w:rsid w:val="00F54205"/>
    <w:rsid w:val="00F57A8D"/>
    <w:rsid w:val="00F636F5"/>
    <w:rsid w:val="00F6426C"/>
    <w:rsid w:val="00F73DAF"/>
    <w:rsid w:val="00F73EA8"/>
    <w:rsid w:val="00F80BC7"/>
    <w:rsid w:val="00F823F3"/>
    <w:rsid w:val="00F94651"/>
    <w:rsid w:val="00FA4641"/>
    <w:rsid w:val="00FA7F61"/>
    <w:rsid w:val="00FB16FD"/>
    <w:rsid w:val="00FB3C25"/>
    <w:rsid w:val="00FB719D"/>
    <w:rsid w:val="00FB7562"/>
    <w:rsid w:val="00FC4418"/>
    <w:rsid w:val="00FC617B"/>
    <w:rsid w:val="00FD1740"/>
    <w:rsid w:val="00FD3A6D"/>
    <w:rsid w:val="00FD3DC1"/>
    <w:rsid w:val="00FD711A"/>
    <w:rsid w:val="01064031"/>
    <w:rsid w:val="014339E1"/>
    <w:rsid w:val="021F5222"/>
    <w:rsid w:val="02D141FB"/>
    <w:rsid w:val="03202F5D"/>
    <w:rsid w:val="03E07C67"/>
    <w:rsid w:val="04A91589"/>
    <w:rsid w:val="05397B53"/>
    <w:rsid w:val="05CE7E69"/>
    <w:rsid w:val="05D03BC9"/>
    <w:rsid w:val="06651FAC"/>
    <w:rsid w:val="0722567D"/>
    <w:rsid w:val="07506964"/>
    <w:rsid w:val="07B62F76"/>
    <w:rsid w:val="08752931"/>
    <w:rsid w:val="0949566D"/>
    <w:rsid w:val="098A411D"/>
    <w:rsid w:val="0C2C7254"/>
    <w:rsid w:val="0C743330"/>
    <w:rsid w:val="0C762CD4"/>
    <w:rsid w:val="0EB3001D"/>
    <w:rsid w:val="0F7316A6"/>
    <w:rsid w:val="0FC42CF9"/>
    <w:rsid w:val="0FD03CD9"/>
    <w:rsid w:val="0FDD55D6"/>
    <w:rsid w:val="104210B3"/>
    <w:rsid w:val="10BE733F"/>
    <w:rsid w:val="11433F8B"/>
    <w:rsid w:val="11DB0AC5"/>
    <w:rsid w:val="13860BAE"/>
    <w:rsid w:val="14436BA9"/>
    <w:rsid w:val="14A037CB"/>
    <w:rsid w:val="14FD123B"/>
    <w:rsid w:val="15777FF4"/>
    <w:rsid w:val="15A703A2"/>
    <w:rsid w:val="16A535D9"/>
    <w:rsid w:val="16EC4DFB"/>
    <w:rsid w:val="177E1EBD"/>
    <w:rsid w:val="18025256"/>
    <w:rsid w:val="18A24C0F"/>
    <w:rsid w:val="1B124510"/>
    <w:rsid w:val="1B4A0658"/>
    <w:rsid w:val="1B646E46"/>
    <w:rsid w:val="1E2A418E"/>
    <w:rsid w:val="1F474074"/>
    <w:rsid w:val="201C5A4A"/>
    <w:rsid w:val="204D64F5"/>
    <w:rsid w:val="21C815D3"/>
    <w:rsid w:val="2230656F"/>
    <w:rsid w:val="22F83BDC"/>
    <w:rsid w:val="231B747C"/>
    <w:rsid w:val="23CA2FF6"/>
    <w:rsid w:val="24506904"/>
    <w:rsid w:val="24841859"/>
    <w:rsid w:val="248657D3"/>
    <w:rsid w:val="254C3116"/>
    <w:rsid w:val="25C861EA"/>
    <w:rsid w:val="260E3346"/>
    <w:rsid w:val="264145D6"/>
    <w:rsid w:val="27C32387"/>
    <w:rsid w:val="27E20E34"/>
    <w:rsid w:val="281B5692"/>
    <w:rsid w:val="28552045"/>
    <w:rsid w:val="285C3FBB"/>
    <w:rsid w:val="29273C9B"/>
    <w:rsid w:val="2AFC6B8A"/>
    <w:rsid w:val="2B12230A"/>
    <w:rsid w:val="2B1A2579"/>
    <w:rsid w:val="2B796AFE"/>
    <w:rsid w:val="2D150DDA"/>
    <w:rsid w:val="2D50340F"/>
    <w:rsid w:val="2DFF04D6"/>
    <w:rsid w:val="2E0F2B31"/>
    <w:rsid w:val="2E466087"/>
    <w:rsid w:val="2F0961D3"/>
    <w:rsid w:val="2F360A2C"/>
    <w:rsid w:val="2F7964B4"/>
    <w:rsid w:val="30831C53"/>
    <w:rsid w:val="312C43FB"/>
    <w:rsid w:val="313C4B76"/>
    <w:rsid w:val="323B65FE"/>
    <w:rsid w:val="329A56C0"/>
    <w:rsid w:val="32F8258C"/>
    <w:rsid w:val="33BC6B85"/>
    <w:rsid w:val="340170C9"/>
    <w:rsid w:val="34097795"/>
    <w:rsid w:val="34640E4A"/>
    <w:rsid w:val="351A0405"/>
    <w:rsid w:val="356419B4"/>
    <w:rsid w:val="358B3ABB"/>
    <w:rsid w:val="35C67F79"/>
    <w:rsid w:val="361F301E"/>
    <w:rsid w:val="36CB3E53"/>
    <w:rsid w:val="36E44B5A"/>
    <w:rsid w:val="371409A1"/>
    <w:rsid w:val="37460612"/>
    <w:rsid w:val="37461371"/>
    <w:rsid w:val="37735054"/>
    <w:rsid w:val="37C91FA2"/>
    <w:rsid w:val="3817420E"/>
    <w:rsid w:val="381C20D2"/>
    <w:rsid w:val="382256A7"/>
    <w:rsid w:val="386D5023"/>
    <w:rsid w:val="3872752E"/>
    <w:rsid w:val="388D714C"/>
    <w:rsid w:val="388E1AF2"/>
    <w:rsid w:val="3A5A4E2E"/>
    <w:rsid w:val="3A6C7509"/>
    <w:rsid w:val="3B0C5631"/>
    <w:rsid w:val="3B4007CD"/>
    <w:rsid w:val="3B482C7B"/>
    <w:rsid w:val="3B7D37CF"/>
    <w:rsid w:val="3B942089"/>
    <w:rsid w:val="3C4C25F8"/>
    <w:rsid w:val="3C616404"/>
    <w:rsid w:val="3D595F3B"/>
    <w:rsid w:val="3EEC1629"/>
    <w:rsid w:val="3FC500D5"/>
    <w:rsid w:val="40010EF3"/>
    <w:rsid w:val="404B5C4A"/>
    <w:rsid w:val="40AB50EA"/>
    <w:rsid w:val="40CF23D7"/>
    <w:rsid w:val="41412BA9"/>
    <w:rsid w:val="41507C0E"/>
    <w:rsid w:val="41E5371F"/>
    <w:rsid w:val="41F60AD4"/>
    <w:rsid w:val="429314FD"/>
    <w:rsid w:val="42F02924"/>
    <w:rsid w:val="4313118F"/>
    <w:rsid w:val="435E1123"/>
    <w:rsid w:val="437A647B"/>
    <w:rsid w:val="43974140"/>
    <w:rsid w:val="440661BD"/>
    <w:rsid w:val="44297F44"/>
    <w:rsid w:val="44421112"/>
    <w:rsid w:val="45462D85"/>
    <w:rsid w:val="45520549"/>
    <w:rsid w:val="457C091A"/>
    <w:rsid w:val="45E3627D"/>
    <w:rsid w:val="461F0024"/>
    <w:rsid w:val="466301CA"/>
    <w:rsid w:val="46916381"/>
    <w:rsid w:val="47B915F7"/>
    <w:rsid w:val="493235A6"/>
    <w:rsid w:val="49A87C69"/>
    <w:rsid w:val="4B3C56F2"/>
    <w:rsid w:val="4B4D7D72"/>
    <w:rsid w:val="4B6D2942"/>
    <w:rsid w:val="4B82542D"/>
    <w:rsid w:val="4BC52B89"/>
    <w:rsid w:val="4BE05BAD"/>
    <w:rsid w:val="4BF03FDE"/>
    <w:rsid w:val="4C8F3984"/>
    <w:rsid w:val="4D750091"/>
    <w:rsid w:val="4D8003E6"/>
    <w:rsid w:val="4DE2412D"/>
    <w:rsid w:val="4EF959BA"/>
    <w:rsid w:val="4FAF5D3D"/>
    <w:rsid w:val="4FBC19BB"/>
    <w:rsid w:val="50CB735A"/>
    <w:rsid w:val="50EB3F82"/>
    <w:rsid w:val="50FA6A55"/>
    <w:rsid w:val="515F1DCB"/>
    <w:rsid w:val="5248479E"/>
    <w:rsid w:val="52811A42"/>
    <w:rsid w:val="53541415"/>
    <w:rsid w:val="535569A0"/>
    <w:rsid w:val="546155E5"/>
    <w:rsid w:val="54FF095A"/>
    <w:rsid w:val="55280A78"/>
    <w:rsid w:val="55F15252"/>
    <w:rsid w:val="56584724"/>
    <w:rsid w:val="56B6077F"/>
    <w:rsid w:val="56CC3DAD"/>
    <w:rsid w:val="57032983"/>
    <w:rsid w:val="574F7272"/>
    <w:rsid w:val="57576E27"/>
    <w:rsid w:val="57BE04D5"/>
    <w:rsid w:val="57C07ACC"/>
    <w:rsid w:val="57D72F82"/>
    <w:rsid w:val="58E8424F"/>
    <w:rsid w:val="59332A6E"/>
    <w:rsid w:val="597B3B2B"/>
    <w:rsid w:val="5A19102A"/>
    <w:rsid w:val="5B6D15C9"/>
    <w:rsid w:val="5C58107B"/>
    <w:rsid w:val="5CD4533D"/>
    <w:rsid w:val="5CE55301"/>
    <w:rsid w:val="5E0D1A0D"/>
    <w:rsid w:val="5E6E2DD8"/>
    <w:rsid w:val="5E8E67AF"/>
    <w:rsid w:val="5FFE7D84"/>
    <w:rsid w:val="606C0590"/>
    <w:rsid w:val="61C45D84"/>
    <w:rsid w:val="61C63DF9"/>
    <w:rsid w:val="620360F1"/>
    <w:rsid w:val="62A4409C"/>
    <w:rsid w:val="632C4F63"/>
    <w:rsid w:val="6357028E"/>
    <w:rsid w:val="639C5CE1"/>
    <w:rsid w:val="644840CB"/>
    <w:rsid w:val="655C79E3"/>
    <w:rsid w:val="65E81D10"/>
    <w:rsid w:val="667B2536"/>
    <w:rsid w:val="67C96EF5"/>
    <w:rsid w:val="68400704"/>
    <w:rsid w:val="688C122F"/>
    <w:rsid w:val="68F35183"/>
    <w:rsid w:val="694C5F36"/>
    <w:rsid w:val="6968592E"/>
    <w:rsid w:val="6A0279AE"/>
    <w:rsid w:val="6A482602"/>
    <w:rsid w:val="6A6E1DA8"/>
    <w:rsid w:val="6B07083C"/>
    <w:rsid w:val="6B913EA6"/>
    <w:rsid w:val="6BCC3487"/>
    <w:rsid w:val="6BF209B1"/>
    <w:rsid w:val="6BF62C01"/>
    <w:rsid w:val="6C870A40"/>
    <w:rsid w:val="6C953C26"/>
    <w:rsid w:val="6CEC340C"/>
    <w:rsid w:val="6D361187"/>
    <w:rsid w:val="6D775B89"/>
    <w:rsid w:val="6F4F7AF2"/>
    <w:rsid w:val="6FB677CD"/>
    <w:rsid w:val="70AC083E"/>
    <w:rsid w:val="70E63DE0"/>
    <w:rsid w:val="71086F2A"/>
    <w:rsid w:val="71272642"/>
    <w:rsid w:val="716D43AE"/>
    <w:rsid w:val="7189738E"/>
    <w:rsid w:val="7201761F"/>
    <w:rsid w:val="72C36EB5"/>
    <w:rsid w:val="72FE12F5"/>
    <w:rsid w:val="738A2166"/>
    <w:rsid w:val="73CD0149"/>
    <w:rsid w:val="74344E38"/>
    <w:rsid w:val="749831EA"/>
    <w:rsid w:val="74A65F47"/>
    <w:rsid w:val="74E50CC9"/>
    <w:rsid w:val="750E0AAE"/>
    <w:rsid w:val="754E16A2"/>
    <w:rsid w:val="758A3AB5"/>
    <w:rsid w:val="75A2437B"/>
    <w:rsid w:val="75EC7997"/>
    <w:rsid w:val="761266A8"/>
    <w:rsid w:val="77762511"/>
    <w:rsid w:val="77B43AFA"/>
    <w:rsid w:val="787A4601"/>
    <w:rsid w:val="78CE27AF"/>
    <w:rsid w:val="78F6195B"/>
    <w:rsid w:val="78FA27A5"/>
    <w:rsid w:val="79A47907"/>
    <w:rsid w:val="79DA711C"/>
    <w:rsid w:val="7A150154"/>
    <w:rsid w:val="7B0B5249"/>
    <w:rsid w:val="7BA7719D"/>
    <w:rsid w:val="7D0A41BC"/>
    <w:rsid w:val="7D100FEF"/>
    <w:rsid w:val="7D3E3ABB"/>
    <w:rsid w:val="7D503304"/>
    <w:rsid w:val="7DF54E63"/>
    <w:rsid w:val="7E2366D7"/>
    <w:rsid w:val="7E3216EA"/>
    <w:rsid w:val="7E7A607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Body Text Indent"/>
    <w:basedOn w:val="1"/>
    <w:link w:val="13"/>
    <w:qFormat/>
    <w:uiPriority w:val="0"/>
    <w:pPr>
      <w:spacing w:line="0" w:lineRule="atLeast"/>
      <w:ind w:right="1352" w:rightChars="644" w:firstLine="523" w:firstLineChars="222"/>
    </w:pPr>
    <w:rPr>
      <w:rFonts w:ascii="Arial" w:hAnsi="Arial"/>
      <w:b/>
      <w:sz w:val="24"/>
      <w:szCs w:val="20"/>
    </w:rPr>
  </w:style>
  <w:style w:type="paragraph" w:styleId="4">
    <w:name w:val="Date"/>
    <w:basedOn w:val="1"/>
    <w:next w:val="1"/>
    <w:qFormat/>
    <w:uiPriority w:val="0"/>
    <w:pPr>
      <w:ind w:left="100" w:leftChars="250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numPr>
        <w:ilvl w:val="6"/>
        <w:numId w:val="1"/>
      </w:numPr>
      <w:pBdr>
        <w:bottom w:val="single" w:color="auto" w:sz="6" w:space="1"/>
      </w:pBdr>
      <w:tabs>
        <w:tab w:val="left" w:pos="360"/>
        <w:tab w:val="center" w:pos="4153"/>
        <w:tab w:val="right" w:pos="8306"/>
      </w:tabs>
      <w:snapToGrid w:val="0"/>
      <w:jc w:val="center"/>
    </w:pPr>
    <w:rPr>
      <w:sz w:val="18"/>
      <w:szCs w:val="18"/>
    </w:rPr>
  </w:style>
  <w:style w:type="paragraph" w:styleId="7">
    <w:name w:val="Normal (Web)"/>
    <w:basedOn w:val="1"/>
    <w:qFormat/>
    <w:uiPriority w:val="0"/>
    <w:rPr>
      <w:sz w:val="24"/>
    </w:rPr>
  </w:style>
  <w:style w:type="table" w:styleId="9">
    <w:name w:val="Table Grid"/>
    <w:basedOn w:val="8"/>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1">
    <w:name w:val="page number"/>
    <w:basedOn w:val="10"/>
    <w:qFormat/>
    <w:uiPriority w:val="0"/>
  </w:style>
  <w:style w:type="character" w:styleId="12">
    <w:name w:val="Hyperlink"/>
    <w:qFormat/>
    <w:uiPriority w:val="0"/>
    <w:rPr>
      <w:color w:val="333333"/>
      <w:u w:val="none"/>
    </w:rPr>
  </w:style>
  <w:style w:type="character" w:customStyle="1" w:styleId="13">
    <w:name w:val="正文文本缩进 Char"/>
    <w:link w:val="3"/>
    <w:qFormat/>
    <w:uiPriority w:val="0"/>
    <w:rPr>
      <w:rFonts w:ascii="Arial" w:hAnsi="Arial"/>
      <w:b/>
      <w:kern w:val="2"/>
      <w:sz w:val="24"/>
    </w:rPr>
  </w:style>
  <w:style w:type="paragraph" w:customStyle="1" w:styleId="14">
    <w:name w:val="前言、引言标题"/>
    <w:next w:val="1"/>
    <w:qFormat/>
    <w:uiPriority w:val="0"/>
    <w:pPr>
      <w:numPr>
        <w:ilvl w:val="0"/>
        <w:numId w:val="1"/>
      </w:numPr>
      <w:shd w:val="clear" w:color="FFFFFF" w:fill="FFFFFF"/>
      <w:tabs>
        <w:tab w:val="left" w:pos="360"/>
      </w:tabs>
      <w:spacing w:before="640" w:after="560"/>
      <w:jc w:val="center"/>
      <w:outlineLvl w:val="0"/>
    </w:pPr>
    <w:rPr>
      <w:rFonts w:ascii="黑体" w:hAnsi="Calibri" w:eastAsia="黑体" w:cs="Calibri"/>
      <w:sz w:val="32"/>
      <w:lang w:val="en-US" w:eastAsia="zh-CN" w:bidi="ar-SA"/>
    </w:rPr>
  </w:style>
  <w:style w:type="paragraph" w:customStyle="1" w:styleId="15">
    <w:name w:val="段"/>
    <w:link w:val="16"/>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16">
    <w:name w:val="段 Char"/>
    <w:link w:val="15"/>
    <w:qFormat/>
    <w:uiPriority w:val="0"/>
    <w:rPr>
      <w:rFonts w:ascii="宋体"/>
      <w:sz w:val="21"/>
      <w:lang w:val="en-US" w:eastAsia="zh-CN" w:bidi="ar-SA"/>
    </w:rPr>
  </w:style>
  <w:style w:type="paragraph" w:customStyle="1" w:styleId="17">
    <w:name w:val="章标题"/>
    <w:next w:val="15"/>
    <w:qFormat/>
    <w:uiPriority w:val="0"/>
    <w:pPr>
      <w:numPr>
        <w:ilvl w:val="1"/>
        <w:numId w:val="1"/>
      </w:numPr>
      <w:tabs>
        <w:tab w:val="left" w:pos="360"/>
      </w:tabs>
      <w:spacing w:before="50" w:beforeLines="50" w:after="50" w:afterLines="50"/>
      <w:jc w:val="both"/>
      <w:outlineLvl w:val="1"/>
    </w:pPr>
    <w:rPr>
      <w:rFonts w:ascii="黑体" w:hAnsi="Calibri" w:eastAsia="黑体" w:cs="Calibri"/>
      <w:sz w:val="21"/>
      <w:lang w:val="en-US" w:eastAsia="zh-CN" w:bidi="ar-SA"/>
    </w:rPr>
  </w:style>
  <w:style w:type="paragraph" w:customStyle="1" w:styleId="18">
    <w:name w:val="一级条标题"/>
    <w:next w:val="15"/>
    <w:qFormat/>
    <w:uiPriority w:val="0"/>
    <w:pPr>
      <w:numPr>
        <w:ilvl w:val="2"/>
        <w:numId w:val="1"/>
      </w:numPr>
      <w:tabs>
        <w:tab w:val="left" w:pos="360"/>
      </w:tabs>
      <w:outlineLvl w:val="2"/>
    </w:pPr>
    <w:rPr>
      <w:rFonts w:ascii="Calibri" w:hAnsi="Calibri" w:eastAsia="黑体" w:cs="Calibri"/>
      <w:sz w:val="21"/>
      <w:lang w:val="en-US" w:eastAsia="zh-CN" w:bidi="ar-SA"/>
    </w:rPr>
  </w:style>
  <w:style w:type="paragraph" w:customStyle="1" w:styleId="19">
    <w:name w:val="二级条标题"/>
    <w:basedOn w:val="18"/>
    <w:next w:val="15"/>
    <w:qFormat/>
    <w:uiPriority w:val="0"/>
    <w:pPr>
      <w:numPr>
        <w:ilvl w:val="3"/>
        <w:numId w:val="1"/>
      </w:numPr>
      <w:outlineLvl w:val="3"/>
    </w:pPr>
  </w:style>
  <w:style w:type="paragraph" w:customStyle="1" w:styleId="20">
    <w:name w:val="实施日期"/>
    <w:basedOn w:val="1"/>
    <w:qFormat/>
    <w:uiPriority w:val="0"/>
    <w:pPr>
      <w:framePr w:w="4000" w:h="473" w:hRule="exact" w:vSpace="180" w:wrap="around" w:vAnchor="margin" w:hAnchor="margin" w:xAlign="right" w:y="13511" w:anchorLock="1"/>
      <w:widowControl/>
      <w:numPr>
        <w:ilvl w:val="4"/>
        <w:numId w:val="1"/>
      </w:numPr>
      <w:tabs>
        <w:tab w:val="left" w:pos="360"/>
      </w:tabs>
      <w:jc w:val="right"/>
    </w:pPr>
    <w:rPr>
      <w:rFonts w:eastAsia="黑体"/>
      <w:kern w:val="0"/>
      <w:sz w:val="28"/>
      <w:szCs w:val="20"/>
    </w:rPr>
  </w:style>
  <w:style w:type="paragraph" w:customStyle="1" w:styleId="21">
    <w:name w:val="三级条标题"/>
    <w:basedOn w:val="19"/>
    <w:next w:val="1"/>
    <w:qFormat/>
    <w:uiPriority w:val="0"/>
    <w:pPr>
      <w:numPr>
        <w:ilvl w:val="0"/>
        <w:numId w:val="0"/>
      </w:numPr>
      <w:outlineLvl w:val="4"/>
    </w:pPr>
  </w:style>
  <w:style w:type="paragraph" w:customStyle="1" w:styleId="2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3">
    <w:name w:val=" Char Char Char Char Char Char Char Char Char Char Char Char"/>
    <w:basedOn w:val="1"/>
    <w:qFormat/>
    <w:uiPriority w:val="0"/>
    <w:pPr>
      <w:widowControl/>
      <w:spacing w:after="160" w:line="240" w:lineRule="exact"/>
      <w:jc w:val="left"/>
    </w:pPr>
    <w:rPr>
      <w:rFonts w:ascii="黑体" w:hAnsi="Verdana" w:eastAsia="黑体"/>
      <w:kern w:val="0"/>
      <w:szCs w:val="21"/>
      <w:lang w:eastAsia="en-US"/>
    </w:rPr>
  </w:style>
  <w:style w:type="paragraph" w:customStyle="1" w:styleId="24">
    <w:name w:val="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25">
    <w:name w:val="四级条标题"/>
    <w:basedOn w:val="21"/>
    <w:next w:val="15"/>
    <w:qFormat/>
    <w:uiPriority w:val="0"/>
    <w:pPr>
      <w:spacing w:before="50" w:beforeLines="50" w:after="50" w:afterLines="50"/>
      <w:outlineLvl w:val="5"/>
    </w:pPr>
    <w:rPr>
      <w:rFonts w:ascii="黑体"/>
      <w:szCs w:val="21"/>
    </w:rPr>
  </w:style>
  <w:style w:type="paragraph" w:customStyle="1" w:styleId="26">
    <w:name w:val="五级条标题"/>
    <w:basedOn w:val="25"/>
    <w:next w:val="15"/>
    <w:qFormat/>
    <w:uiPriority w:val="0"/>
    <w:pPr>
      <w:outlineLvl w:val="6"/>
    </w:pPr>
  </w:style>
  <w:style w:type="paragraph" w:customStyle="1" w:styleId="27">
    <w:name w:val="标准文件_数字编号列项（二级）"/>
    <w:qFormat/>
    <w:uiPriority w:val="0"/>
    <w:pPr>
      <w:numPr>
        <w:ilvl w:val="1"/>
        <w:numId w:val="2"/>
      </w:numPr>
      <w:jc w:val="both"/>
    </w:pPr>
    <w:rPr>
      <w:rFonts w:ascii="宋体" w:hAnsi="Calibri" w:eastAsia="宋体" w:cs="Calibri"/>
      <w:sz w:val="21"/>
      <w:lang w:val="en-US" w:eastAsia="zh-CN" w:bidi="ar-SA"/>
    </w:rPr>
  </w:style>
  <w:style w:type="paragraph" w:customStyle="1" w:styleId="28">
    <w:name w:val="标准文件_编号列项（三级）"/>
    <w:qFormat/>
    <w:uiPriority w:val="0"/>
    <w:pPr>
      <w:numPr>
        <w:ilvl w:val="2"/>
        <w:numId w:val="2"/>
      </w:numPr>
    </w:pPr>
    <w:rPr>
      <w:rFonts w:ascii="宋体" w:hAnsi="Calibri" w:eastAsia="宋体" w:cs="Calibri"/>
      <w:sz w:val="21"/>
      <w:lang w:val="en-US" w:eastAsia="zh-CN" w:bidi="ar-SA"/>
    </w:rPr>
  </w:style>
  <w:style w:type="paragraph" w:customStyle="1" w:styleId="29">
    <w:name w:val="标准文件_字母编号列项（一级）"/>
    <w:qFormat/>
    <w:uiPriority w:val="0"/>
    <w:pPr>
      <w:numPr>
        <w:ilvl w:val="0"/>
        <w:numId w:val="2"/>
      </w:numPr>
      <w:jc w:val="both"/>
    </w:pPr>
    <w:rPr>
      <w:rFonts w:ascii="宋体" w:hAnsi="Calibri" w:eastAsia="宋体" w:cs="Calibri"/>
      <w:sz w:val="21"/>
      <w:lang w:val="en-US" w:eastAsia="zh-CN" w:bidi="ar-SA"/>
    </w:rPr>
  </w:style>
  <w:style w:type="table" w:customStyle="1" w:styleId="30">
    <w:name w:val="网格型1"/>
    <w:basedOn w:val="8"/>
    <w:qFormat/>
    <w:uiPriority w:val="39"/>
    <w:rPr>
      <w:rFonts w:ascii="等线" w:hAnsi="等线" w:eastAsia="等线"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
    <w:name w:val="网格型2"/>
    <w:basedOn w:val="8"/>
    <w:qFormat/>
    <w:uiPriority w:val="39"/>
    <w:rPr>
      <w:rFonts w:ascii="等线" w:hAnsi="等线" w:eastAsia="等线"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
    <w:name w:val="网格型3"/>
    <w:basedOn w:val="8"/>
    <w:qFormat/>
    <w:uiPriority w:val="39"/>
    <w:rPr>
      <w:rFonts w:ascii="等线" w:hAnsi="等线" w:eastAsia="等线"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4">
    <w:name w:val="正文表标题"/>
    <w:next w:val="1"/>
    <w:qFormat/>
    <w:uiPriority w:val="0"/>
    <w:pPr>
      <w:tabs>
        <w:tab w:val="left" w:pos="360"/>
      </w:tabs>
      <w:spacing w:beforeLines="50" w:afterLines="50"/>
      <w:jc w:val="center"/>
    </w:pPr>
    <w:rPr>
      <w:rFonts w:ascii="黑体" w:hAnsi="Times New Roman" w:eastAsia="黑体" w:cs="黑体"/>
      <w:sz w:val="21"/>
      <w:szCs w:val="21"/>
      <w:lang w:val="en-US" w:eastAsia="zh-CN" w:bidi="ar-SA"/>
    </w:rPr>
  </w:style>
  <w:style w:type="character" w:customStyle="1" w:styleId="35">
    <w:name w:val="标准文件_段 Char"/>
    <w:basedOn w:val="10"/>
    <w:qFormat/>
    <w:uiPriority w:val="0"/>
    <w:rPr>
      <w:rFonts w:hint="eastAsia" w:ascii="宋体" w:hAnsi="Times New Roman" w:eastAsia="宋体" w:cs="宋体"/>
      <w:sz w:val="21"/>
    </w:rPr>
  </w:style>
  <w:style w:type="paragraph" w:customStyle="1" w:styleId="36">
    <w:name w:val="标准文件_三级无标题"/>
    <w:qFormat/>
    <w:uiPriority w:val="0"/>
    <w:pPr>
      <w:keepNext w:val="0"/>
      <w:keepLines w:val="0"/>
      <w:widowControl/>
      <w:numPr>
        <w:ilvl w:val="4"/>
        <w:numId w:val="3"/>
      </w:numPr>
      <w:suppressLineNumbers w:val="0"/>
      <w:spacing w:before="0" w:beforeLines="-2147483648" w:beforeAutospacing="0" w:after="0" w:afterLines="-2147483648" w:afterAutospacing="0"/>
      <w:ind w:left="0" w:right="0" w:firstLine="0"/>
      <w:jc w:val="both"/>
      <w:outlineLvl w:val="9"/>
    </w:pPr>
    <w:rPr>
      <w:rFonts w:hint="eastAsia" w:ascii="宋体" w:hAnsi="Times New Roman" w:eastAsia="宋体" w:cs="Times New Roman"/>
      <w:kern w:val="0"/>
      <w:sz w:val="21"/>
      <w:szCs w:val="20"/>
      <w:lang w:val="en-US" w:eastAsia="zh-CN" w:bidi="ar"/>
    </w:rPr>
  </w:style>
  <w:style w:type="paragraph" w:customStyle="1" w:styleId="37">
    <w:name w:val="标准文件_一级条标题"/>
    <w:basedOn w:val="38"/>
    <w:next w:val="33"/>
    <w:qFormat/>
    <w:uiPriority w:val="0"/>
    <w:pPr>
      <w:numPr>
        <w:ilvl w:val="2"/>
      </w:numPr>
      <w:spacing w:before="50" w:beforeLines="50" w:after="50" w:afterLines="50"/>
      <w:outlineLvl w:val="1"/>
    </w:pPr>
  </w:style>
  <w:style w:type="paragraph" w:customStyle="1" w:styleId="38">
    <w:name w:val="标准文件_章标题"/>
    <w:next w:val="33"/>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9">
    <w:name w:val="标准文件_表格"/>
    <w:basedOn w:val="1"/>
    <w:qFormat/>
    <w:uiPriority w:val="0"/>
    <w:pPr>
      <w:keepNext w:val="0"/>
      <w:keepLines w:val="0"/>
      <w:widowControl/>
      <w:suppressLineNumbers w:val="0"/>
      <w:autoSpaceDE w:val="0"/>
      <w:autoSpaceDN w:val="0"/>
      <w:adjustRightInd/>
      <w:spacing w:before="0" w:beforeAutospacing="0" w:after="0" w:afterAutospacing="0" w:line="240" w:lineRule="auto"/>
      <w:ind w:left="0" w:right="0"/>
      <w:jc w:val="center"/>
    </w:pPr>
    <w:rPr>
      <w:rFonts w:hint="eastAsia" w:ascii="宋体" w:hAnsi="Times New Roman" w:eastAsia="宋体" w:cs="Times New Roman"/>
      <w:kern w:val="0"/>
      <w:sz w:val="18"/>
      <w:szCs w:val="20"/>
      <w:lang w:val="en-US" w:eastAsia="zh-CN" w:bidi="ar"/>
    </w:rPr>
  </w:style>
  <w:style w:type="paragraph" w:customStyle="1" w:styleId="40">
    <w:name w:val="标准文件_术语条一"/>
    <w:basedOn w:val="1"/>
    <w:qFormat/>
    <w:uiPriority w:val="0"/>
    <w:pPr>
      <w:keepNext w:val="0"/>
      <w:keepLines w:val="0"/>
      <w:widowControl/>
      <w:suppressLineNumbers w:val="0"/>
      <w:tabs>
        <w:tab w:val="left" w:pos="360"/>
      </w:tabs>
      <w:adjustRightInd/>
      <w:spacing w:before="0" w:beforeAutospacing="0" w:after="0" w:afterAutospacing="0" w:line="240" w:lineRule="auto"/>
      <w:ind w:left="0" w:right="0" w:firstLine="0"/>
      <w:jc w:val="both"/>
    </w:pPr>
    <w:rPr>
      <w:rFonts w:hint="eastAsia" w:ascii="宋体" w:hAnsi="Times New Roman" w:eastAsia="宋体" w:cs="Times New Roman"/>
      <w:kern w:val="0"/>
      <w:sz w:val="21"/>
      <w:szCs w:val="20"/>
      <w:lang w:val="en-US" w:eastAsia="zh-CN" w:bidi="ar"/>
    </w:rPr>
  </w:style>
  <w:style w:type="paragraph" w:customStyle="1" w:styleId="41">
    <w:name w:val="Table Text"/>
    <w:basedOn w:val="1"/>
    <w:hidden/>
    <w:uiPriority w:val="0"/>
    <w:pPr>
      <w:keepNext w:val="0"/>
      <w:keepLines w:val="0"/>
      <w:widowControl/>
      <w:suppressLineNumbers w:val="0"/>
      <w:kinsoku w:val="0"/>
      <w:autoSpaceDE w:val="0"/>
      <w:autoSpaceDN w:val="0"/>
      <w:adjustRightInd w:val="0"/>
      <w:snapToGrid w:val="0"/>
      <w:spacing w:before="0" w:beforeAutospacing="0" w:after="0" w:afterAutospacing="0" w:line="240" w:lineRule="auto"/>
      <w:ind w:left="0" w:right="0"/>
      <w:jc w:val="center"/>
    </w:pPr>
    <w:rPr>
      <w:rFonts w:hint="eastAsia" w:ascii="宋体" w:hAnsi="宋体" w:eastAsia="宋体" w:cs="宋体"/>
      <w:color w:val="000000"/>
      <w:kern w:val="0"/>
      <w:sz w:val="21"/>
      <w:szCs w:val="21"/>
      <w:lang w:val="en-US" w:eastAsia="zh-CN" w:bidi="ar"/>
    </w:rPr>
  </w:style>
  <w:style w:type="paragraph" w:customStyle="1" w:styleId="42">
    <w:name w:val="Table Paragraph"/>
    <w:basedOn w:val="1"/>
    <w:uiPriority w:val="0"/>
    <w:pPr>
      <w:keepNext w:val="0"/>
      <w:keepLines w:val="0"/>
      <w:widowControl w:val="0"/>
      <w:suppressLineNumbers w:val="0"/>
      <w:adjustRightInd/>
      <w:spacing w:before="0" w:beforeAutospacing="0" w:after="0" w:afterAutospacing="0" w:line="240" w:lineRule="auto"/>
      <w:ind w:left="0" w:right="0"/>
      <w:jc w:val="both"/>
    </w:pPr>
    <w:rPr>
      <w:rFonts w:hint="eastAsia" w:ascii="宋体" w:hAnsi="宋体" w:eastAsia="宋体" w:cs="宋体"/>
      <w:kern w:val="2"/>
      <w:sz w:val="21"/>
      <w:szCs w:val="24"/>
      <w:lang w:val="en-US" w:eastAsia="zh-CN" w:bidi="ar"/>
    </w:rPr>
  </w:style>
  <w:style w:type="table" w:customStyle="1" w:styleId="43">
    <w:name w:val="Table Normal"/>
    <w:basedOn w:val="8"/>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image" Target="media/image22.jpeg"/><Relationship Id="rId26" Type="http://schemas.openxmlformats.org/officeDocument/2006/relationships/image" Target="media/image21.jpeg"/><Relationship Id="rId25" Type="http://schemas.openxmlformats.org/officeDocument/2006/relationships/image" Target="media/image20.jpeg"/><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jcs</Company>
  <Pages>14</Pages>
  <Words>6265</Words>
  <Characters>6979</Characters>
  <Lines>106</Lines>
  <Paragraphs>29</Paragraphs>
  <TotalTime>25</TotalTime>
  <ScaleCrop>false</ScaleCrop>
  <LinksUpToDate>false</LinksUpToDate>
  <CharactersWithSpaces>7118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2024-06-05T07:17:00Z</dcterms:created>
  <dc:creator>ljf</dc:creator>
  <cp:lastModifiedBy>石钰婷</cp:lastModifiedBy>
  <cp:lastPrinted>2010-07-12T07:09:00Z</cp:lastPrinted>
  <dcterms:modified xsi:type="dcterms:W3CDTF">2026-03-19T04:33:39Z</dcterms:modified>
  <dc:title>本标准第四章第4</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81865D583D954A67824C332638F714DB_13</vt:lpwstr>
  </property>
  <property fmtid="{D5CDD505-2E9C-101B-9397-08002B2CF9AE}" pid="4" name="KSOTemplateDocerSaveRecord">
    <vt:lpwstr>eyJoZGlkIjoiOTU0ZWUyYzI5YmJkMTc0NGU4ZjYyNTEyOTFlNzQyNGQiLCJ1c2VySWQiOiI3MzEwODQ2MjEifQ==</vt:lpwstr>
  </property>
</Properties>
</file>